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C2CF5" w14:textId="6D3080F4" w:rsidR="00F05C73" w:rsidRDefault="00F74ED1" w:rsidP="00280DEB">
      <w:r>
        <w:t xml:space="preserve">Version </w:t>
      </w:r>
      <w:r w:rsidR="00F035F4">
        <w:t>5</w:t>
      </w:r>
      <w:r>
        <w:t xml:space="preserve"> </w:t>
      </w:r>
      <w:r>
        <w:rPr>
          <w:rFonts w:ascii="Calibri" w:eastAsia="Calibri" w:hAnsi="Calibri" w:cs="Calibri"/>
        </w:rPr>
        <w:t>–</w:t>
      </w:r>
      <w:r>
        <w:t xml:space="preserve"> </w:t>
      </w:r>
      <w:r w:rsidR="00F035F4">
        <w:t>19</w:t>
      </w:r>
      <w:r w:rsidR="004950EF" w:rsidRPr="004950EF">
        <w:rPr>
          <w:vertAlign w:val="superscript"/>
        </w:rPr>
        <w:t>th</w:t>
      </w:r>
      <w:r w:rsidR="004950EF">
        <w:t xml:space="preserve"> June</w:t>
      </w:r>
      <w:r w:rsidR="000B69B3">
        <w:t xml:space="preserve"> 2025</w:t>
      </w:r>
      <w:r w:rsidR="000D70D9">
        <w:tab/>
      </w:r>
    </w:p>
    <w:p w14:paraId="33255B51" w14:textId="22572D92" w:rsidR="00F05C73" w:rsidRDefault="002A374F" w:rsidP="000D70D9">
      <w:pPr>
        <w:pStyle w:val="Title"/>
      </w:pPr>
      <w:r>
        <w:t>BIB</w:t>
      </w:r>
      <w:r w:rsidR="000D70D9">
        <w:t xml:space="preserve"> </w:t>
      </w:r>
      <w:r w:rsidR="00F74ED1">
        <w:t>D</w:t>
      </w:r>
      <w:r w:rsidR="00BB31DD">
        <w:t>ata</w:t>
      </w:r>
      <w:r w:rsidR="00F74ED1">
        <w:t xml:space="preserve"> A</w:t>
      </w:r>
      <w:r w:rsidR="00BB31DD">
        <w:t>ccess</w:t>
      </w:r>
      <w:r w:rsidR="00F74ED1">
        <w:t xml:space="preserve"> A</w:t>
      </w:r>
      <w:r w:rsidR="00BB31DD">
        <w:t>greement</w:t>
      </w:r>
      <w:r w:rsidR="00F74ED1">
        <w:rPr>
          <w:u w:color="000000"/>
        </w:rPr>
        <w:t xml:space="preserve"> </w:t>
      </w:r>
    </w:p>
    <w:p w14:paraId="3B2D01A0" w14:textId="77777777" w:rsidR="00F05C73" w:rsidRDefault="00F74ED1" w:rsidP="00476D0B">
      <w:pPr>
        <w:pStyle w:val="Heading2"/>
      </w:pPr>
      <w:r>
        <w:rPr>
          <w:rFonts w:eastAsia="Calibri"/>
        </w:rPr>
        <w:t xml:space="preserve">Agreement Summary: </w:t>
      </w:r>
    </w:p>
    <w:tbl>
      <w:tblPr>
        <w:tblStyle w:val="TableGrid"/>
        <w:tblW w:w="9352" w:type="dxa"/>
        <w:tblInd w:w="5" w:type="dxa"/>
        <w:tblCellMar>
          <w:top w:w="48" w:type="dxa"/>
          <w:left w:w="108" w:type="dxa"/>
          <w:right w:w="58" w:type="dxa"/>
        </w:tblCellMar>
        <w:tblLook w:val="04A0" w:firstRow="1" w:lastRow="0" w:firstColumn="1" w:lastColumn="0" w:noHBand="0" w:noVBand="1"/>
      </w:tblPr>
      <w:tblGrid>
        <w:gridCol w:w="2511"/>
        <w:gridCol w:w="6841"/>
      </w:tblGrid>
      <w:tr w:rsidR="00F05C73" w14:paraId="6D5337D0" w14:textId="77777777">
        <w:trPr>
          <w:trHeight w:val="816"/>
        </w:trPr>
        <w:tc>
          <w:tcPr>
            <w:tcW w:w="2511" w:type="dxa"/>
            <w:tcBorders>
              <w:top w:val="single" w:sz="4" w:space="0" w:color="000000"/>
              <w:left w:val="single" w:sz="4" w:space="0" w:color="000000"/>
              <w:bottom w:val="single" w:sz="4" w:space="0" w:color="000000"/>
              <w:right w:val="single" w:sz="4" w:space="0" w:color="000000"/>
            </w:tcBorders>
          </w:tcPr>
          <w:p w14:paraId="48A430BD" w14:textId="00A997BB" w:rsidR="00F05C73" w:rsidRDefault="00476D0B">
            <w:pPr>
              <w:spacing w:line="239" w:lineRule="auto"/>
              <w:ind w:right="419"/>
            </w:pPr>
            <w:r>
              <w:t>B</w:t>
            </w:r>
            <w:r w:rsidR="002A374F">
              <w:t>I</w:t>
            </w:r>
            <w:r>
              <w:t>B</w:t>
            </w:r>
            <w:r w:rsidR="00F74ED1">
              <w:t xml:space="preserve"> Reference  (</w:t>
            </w:r>
            <w:r>
              <w:t>SP</w:t>
            </w:r>
            <w:r w:rsidR="00F74ED1">
              <w:t xml:space="preserve"> Number): </w:t>
            </w:r>
          </w:p>
          <w:p w14:paraId="5DEEA5CA" w14:textId="77777777" w:rsidR="00F05C73" w:rsidRDefault="00F74ED1">
            <w:pPr>
              <w:spacing w:line="259" w:lineRule="auto"/>
            </w:pPr>
            <w:r>
              <w:t xml:space="preserve"> </w:t>
            </w:r>
          </w:p>
        </w:tc>
        <w:tc>
          <w:tcPr>
            <w:tcW w:w="6841" w:type="dxa"/>
            <w:tcBorders>
              <w:top w:val="single" w:sz="4" w:space="0" w:color="000000"/>
              <w:left w:val="single" w:sz="4" w:space="0" w:color="000000"/>
              <w:bottom w:val="single" w:sz="4" w:space="0" w:color="000000"/>
              <w:right w:val="single" w:sz="4" w:space="0" w:color="000000"/>
            </w:tcBorders>
          </w:tcPr>
          <w:p w14:paraId="275B1C23" w14:textId="5F6632E5" w:rsidR="00F05C73" w:rsidRDefault="00476D0B">
            <w:pPr>
              <w:spacing w:line="259" w:lineRule="auto"/>
            </w:pPr>
            <w:r>
              <w:rPr>
                <w:rFonts w:ascii="Calibri" w:eastAsia="Calibri" w:hAnsi="Calibri" w:cs="Calibri"/>
                <w:b/>
              </w:rPr>
              <w:t>SP</w:t>
            </w:r>
            <w:r w:rsidR="00F74ED1">
              <w:rPr>
                <w:rFonts w:ascii="Calibri" w:eastAsia="Calibri" w:hAnsi="Calibri" w:cs="Calibri"/>
                <w:b/>
              </w:rPr>
              <w:t xml:space="preserve"> </w:t>
            </w:r>
          </w:p>
        </w:tc>
      </w:tr>
      <w:tr w:rsidR="00F05C73" w14:paraId="23D563E6" w14:textId="77777777">
        <w:trPr>
          <w:trHeight w:val="545"/>
        </w:trPr>
        <w:tc>
          <w:tcPr>
            <w:tcW w:w="2511" w:type="dxa"/>
            <w:tcBorders>
              <w:top w:val="single" w:sz="4" w:space="0" w:color="000000"/>
              <w:left w:val="single" w:sz="4" w:space="0" w:color="000000"/>
              <w:bottom w:val="single" w:sz="4" w:space="0" w:color="000000"/>
              <w:right w:val="single" w:sz="4" w:space="0" w:color="000000"/>
            </w:tcBorders>
          </w:tcPr>
          <w:p w14:paraId="2C91233F" w14:textId="77777777" w:rsidR="00F05C73" w:rsidRDefault="00F74ED1">
            <w:pPr>
              <w:spacing w:line="259" w:lineRule="auto"/>
            </w:pPr>
            <w:r>
              <w:t xml:space="preserve">Project Title: </w:t>
            </w:r>
          </w:p>
          <w:p w14:paraId="5701E4F4" w14:textId="77777777" w:rsidR="00F05C73" w:rsidRDefault="00F74ED1">
            <w:pPr>
              <w:spacing w:line="259" w:lineRule="auto"/>
            </w:pPr>
            <w:r>
              <w:t xml:space="preserve"> </w:t>
            </w:r>
          </w:p>
        </w:tc>
        <w:tc>
          <w:tcPr>
            <w:tcW w:w="6841" w:type="dxa"/>
            <w:tcBorders>
              <w:top w:val="single" w:sz="4" w:space="0" w:color="000000"/>
              <w:left w:val="single" w:sz="4" w:space="0" w:color="000000"/>
              <w:bottom w:val="single" w:sz="4" w:space="0" w:color="000000"/>
              <w:right w:val="single" w:sz="4" w:space="0" w:color="000000"/>
            </w:tcBorders>
          </w:tcPr>
          <w:p w14:paraId="7EB93FE6" w14:textId="77777777" w:rsidR="00F05C73" w:rsidRDefault="00F74ED1">
            <w:pPr>
              <w:spacing w:line="259" w:lineRule="auto"/>
            </w:pPr>
            <w:r>
              <w:rPr>
                <w:rFonts w:ascii="Calibri" w:eastAsia="Calibri" w:hAnsi="Calibri" w:cs="Calibri"/>
                <w:b/>
              </w:rPr>
              <w:t xml:space="preserve"> </w:t>
            </w:r>
          </w:p>
        </w:tc>
      </w:tr>
      <w:tr w:rsidR="00F05C73" w14:paraId="4E3A684D" w14:textId="77777777">
        <w:trPr>
          <w:trHeight w:val="547"/>
        </w:trPr>
        <w:tc>
          <w:tcPr>
            <w:tcW w:w="2511" w:type="dxa"/>
            <w:tcBorders>
              <w:top w:val="single" w:sz="4" w:space="0" w:color="000000"/>
              <w:left w:val="single" w:sz="4" w:space="0" w:color="000000"/>
              <w:bottom w:val="single" w:sz="4" w:space="0" w:color="000000"/>
              <w:right w:val="single" w:sz="4" w:space="0" w:color="000000"/>
            </w:tcBorders>
          </w:tcPr>
          <w:p w14:paraId="4C664672" w14:textId="31B1ADB8" w:rsidR="00F05C73" w:rsidRDefault="007D7CEC">
            <w:pPr>
              <w:spacing w:line="259" w:lineRule="auto"/>
            </w:pPr>
            <w:r>
              <w:t>Lead Applicant</w:t>
            </w:r>
            <w:r w:rsidR="00F74ED1">
              <w:t xml:space="preserve">: </w:t>
            </w:r>
          </w:p>
          <w:p w14:paraId="0AA95FBB" w14:textId="77777777" w:rsidR="00F05C73" w:rsidRDefault="00F74ED1">
            <w:pPr>
              <w:spacing w:line="259" w:lineRule="auto"/>
            </w:pPr>
            <w:r>
              <w:t xml:space="preserve"> </w:t>
            </w:r>
          </w:p>
        </w:tc>
        <w:tc>
          <w:tcPr>
            <w:tcW w:w="6841" w:type="dxa"/>
            <w:tcBorders>
              <w:top w:val="single" w:sz="4" w:space="0" w:color="000000"/>
              <w:left w:val="single" w:sz="4" w:space="0" w:color="000000"/>
              <w:bottom w:val="single" w:sz="4" w:space="0" w:color="000000"/>
              <w:right w:val="single" w:sz="4" w:space="0" w:color="000000"/>
            </w:tcBorders>
          </w:tcPr>
          <w:p w14:paraId="1ECA3405" w14:textId="77777777" w:rsidR="00F05C73" w:rsidRDefault="00F74ED1">
            <w:pPr>
              <w:spacing w:line="259" w:lineRule="auto"/>
            </w:pPr>
            <w:r>
              <w:rPr>
                <w:rFonts w:ascii="Calibri" w:eastAsia="Calibri" w:hAnsi="Calibri" w:cs="Calibri"/>
                <w:b/>
              </w:rPr>
              <w:t xml:space="preserve"> </w:t>
            </w:r>
          </w:p>
        </w:tc>
      </w:tr>
      <w:tr w:rsidR="00F05C73" w14:paraId="6E93B8B0" w14:textId="77777777">
        <w:trPr>
          <w:trHeight w:val="548"/>
        </w:trPr>
        <w:tc>
          <w:tcPr>
            <w:tcW w:w="2511" w:type="dxa"/>
            <w:tcBorders>
              <w:top w:val="single" w:sz="4" w:space="0" w:color="000000"/>
              <w:left w:val="single" w:sz="4" w:space="0" w:color="000000"/>
              <w:bottom w:val="single" w:sz="4" w:space="0" w:color="000000"/>
              <w:right w:val="single" w:sz="4" w:space="0" w:color="000000"/>
            </w:tcBorders>
          </w:tcPr>
          <w:p w14:paraId="31C02C90" w14:textId="6105A107" w:rsidR="00F05C73" w:rsidRDefault="007D7CEC">
            <w:pPr>
              <w:spacing w:line="259" w:lineRule="auto"/>
            </w:pPr>
            <w:r>
              <w:t>Receiving Organisation</w:t>
            </w:r>
            <w:r w:rsidR="00F74ED1">
              <w:t xml:space="preserve">: </w:t>
            </w:r>
          </w:p>
          <w:p w14:paraId="347A5AF1" w14:textId="77777777" w:rsidR="00F05C73" w:rsidRDefault="00F74ED1">
            <w:pPr>
              <w:spacing w:line="259" w:lineRule="auto"/>
            </w:pPr>
            <w:r>
              <w:t xml:space="preserve"> </w:t>
            </w:r>
          </w:p>
        </w:tc>
        <w:tc>
          <w:tcPr>
            <w:tcW w:w="6841" w:type="dxa"/>
            <w:tcBorders>
              <w:top w:val="single" w:sz="4" w:space="0" w:color="000000"/>
              <w:left w:val="single" w:sz="4" w:space="0" w:color="000000"/>
              <w:bottom w:val="single" w:sz="4" w:space="0" w:color="000000"/>
              <w:right w:val="single" w:sz="4" w:space="0" w:color="000000"/>
            </w:tcBorders>
          </w:tcPr>
          <w:p w14:paraId="54FFA618" w14:textId="77777777" w:rsidR="00F05C73" w:rsidRDefault="00F74ED1">
            <w:pPr>
              <w:spacing w:line="259" w:lineRule="auto"/>
            </w:pPr>
            <w:r>
              <w:rPr>
                <w:rFonts w:ascii="Calibri" w:eastAsia="Calibri" w:hAnsi="Calibri" w:cs="Calibri"/>
                <w:b/>
              </w:rPr>
              <w:t xml:space="preserve"> </w:t>
            </w:r>
          </w:p>
        </w:tc>
      </w:tr>
      <w:tr w:rsidR="00F05C73" w14:paraId="511C2097" w14:textId="77777777">
        <w:trPr>
          <w:trHeight w:val="816"/>
        </w:trPr>
        <w:tc>
          <w:tcPr>
            <w:tcW w:w="2511" w:type="dxa"/>
            <w:tcBorders>
              <w:top w:val="single" w:sz="4" w:space="0" w:color="000000"/>
              <w:left w:val="single" w:sz="4" w:space="0" w:color="000000"/>
              <w:bottom w:val="single" w:sz="4" w:space="0" w:color="000000"/>
              <w:right w:val="single" w:sz="4" w:space="0" w:color="000000"/>
            </w:tcBorders>
          </w:tcPr>
          <w:p w14:paraId="34212D34" w14:textId="7FA81019" w:rsidR="00F05C73" w:rsidRDefault="00A46068">
            <w:pPr>
              <w:spacing w:line="239" w:lineRule="auto"/>
            </w:pPr>
            <w:r>
              <w:t>Applicant(s)</w:t>
            </w:r>
            <w:r w:rsidR="007D7CEC">
              <w:t xml:space="preserve"> to have data access</w:t>
            </w:r>
            <w:r w:rsidR="00F74ED1">
              <w:t xml:space="preserve"> at </w:t>
            </w:r>
            <w:r w:rsidR="007D7CEC">
              <w:t>Receiving Organisation</w:t>
            </w:r>
            <w:r w:rsidR="00F74ED1">
              <w:t xml:space="preserve">: </w:t>
            </w:r>
          </w:p>
          <w:p w14:paraId="77CFE1B4" w14:textId="77777777" w:rsidR="00F05C73" w:rsidRDefault="00F74ED1">
            <w:pPr>
              <w:spacing w:line="259" w:lineRule="auto"/>
            </w:pPr>
            <w:r>
              <w:t xml:space="preserve"> </w:t>
            </w:r>
          </w:p>
        </w:tc>
        <w:tc>
          <w:tcPr>
            <w:tcW w:w="6841" w:type="dxa"/>
            <w:tcBorders>
              <w:top w:val="single" w:sz="4" w:space="0" w:color="000000"/>
              <w:left w:val="single" w:sz="4" w:space="0" w:color="000000"/>
              <w:bottom w:val="single" w:sz="4" w:space="0" w:color="000000"/>
              <w:right w:val="single" w:sz="4" w:space="0" w:color="000000"/>
            </w:tcBorders>
          </w:tcPr>
          <w:p w14:paraId="7D12B0F8" w14:textId="77777777" w:rsidR="00F05C73" w:rsidRDefault="00F74ED1">
            <w:pPr>
              <w:spacing w:line="259" w:lineRule="auto"/>
            </w:pPr>
            <w:r>
              <w:rPr>
                <w:rFonts w:ascii="Calibri" w:eastAsia="Calibri" w:hAnsi="Calibri" w:cs="Calibri"/>
                <w:i/>
              </w:rPr>
              <w:t>* List all individuals at your institution (name, job title) who will access the data</w:t>
            </w:r>
            <w:r>
              <w:rPr>
                <w:rFonts w:ascii="Calibri" w:eastAsia="Calibri" w:hAnsi="Calibri" w:cs="Calibri"/>
                <w:b/>
              </w:rPr>
              <w:t xml:space="preserve"> </w:t>
            </w:r>
          </w:p>
        </w:tc>
      </w:tr>
      <w:tr w:rsidR="00F05C73" w14:paraId="666D55F1" w14:textId="77777777">
        <w:trPr>
          <w:trHeight w:val="816"/>
        </w:trPr>
        <w:tc>
          <w:tcPr>
            <w:tcW w:w="2511" w:type="dxa"/>
            <w:tcBorders>
              <w:top w:val="single" w:sz="4" w:space="0" w:color="000000"/>
              <w:left w:val="single" w:sz="4" w:space="0" w:color="000000"/>
              <w:bottom w:val="single" w:sz="4" w:space="0" w:color="000000"/>
              <w:right w:val="single" w:sz="4" w:space="0" w:color="000000"/>
            </w:tcBorders>
          </w:tcPr>
          <w:p w14:paraId="3F1B1C7E" w14:textId="06114112" w:rsidR="00F05C73" w:rsidRDefault="00F74ED1">
            <w:pPr>
              <w:spacing w:line="239" w:lineRule="auto"/>
            </w:pPr>
            <w:r>
              <w:t>Co</w:t>
            </w:r>
            <w:r w:rsidR="007D7CEC">
              <w:t>-applicant</w:t>
            </w:r>
            <w:r>
              <w:t xml:space="preserve">(s) </w:t>
            </w:r>
            <w:r w:rsidR="00A46068">
              <w:t xml:space="preserve">not to have </w:t>
            </w:r>
            <w:r>
              <w:t>data</w:t>
            </w:r>
            <w:r w:rsidR="00A46068">
              <w:t xml:space="preserve"> access</w:t>
            </w:r>
            <w:r>
              <w:t xml:space="preserve">: </w:t>
            </w:r>
          </w:p>
          <w:p w14:paraId="0E20ED3C" w14:textId="77777777" w:rsidR="00F05C73" w:rsidRDefault="00F74ED1">
            <w:pPr>
              <w:spacing w:line="259" w:lineRule="auto"/>
            </w:pPr>
            <w:r>
              <w:t xml:space="preserve"> </w:t>
            </w:r>
          </w:p>
        </w:tc>
        <w:tc>
          <w:tcPr>
            <w:tcW w:w="6841" w:type="dxa"/>
            <w:tcBorders>
              <w:top w:val="single" w:sz="4" w:space="0" w:color="000000"/>
              <w:left w:val="single" w:sz="4" w:space="0" w:color="000000"/>
              <w:bottom w:val="single" w:sz="4" w:space="0" w:color="000000"/>
              <w:right w:val="single" w:sz="4" w:space="0" w:color="000000"/>
            </w:tcBorders>
          </w:tcPr>
          <w:p w14:paraId="2039DA03" w14:textId="1B57DB49" w:rsidR="00F05C73" w:rsidRDefault="00F74ED1">
            <w:pPr>
              <w:spacing w:line="259" w:lineRule="auto"/>
            </w:pPr>
            <w:r>
              <w:rPr>
                <w:rFonts w:ascii="Calibri" w:eastAsia="Calibri" w:hAnsi="Calibri" w:cs="Calibri"/>
                <w:i/>
              </w:rPr>
              <w:t xml:space="preserve">* List all individuals collaborating in this project who will not receive or have access to the individual-level </w:t>
            </w:r>
            <w:r w:rsidR="00BB31DD">
              <w:rPr>
                <w:rFonts w:ascii="Calibri" w:eastAsia="Calibri" w:hAnsi="Calibri" w:cs="Calibri"/>
                <w:i/>
              </w:rPr>
              <w:t>Born in Bradford</w:t>
            </w:r>
            <w:r>
              <w:rPr>
                <w:rFonts w:ascii="Calibri" w:eastAsia="Calibri" w:hAnsi="Calibri" w:cs="Calibri"/>
                <w:i/>
              </w:rPr>
              <w:t xml:space="preserve"> data.</w:t>
            </w:r>
            <w:r>
              <w:rPr>
                <w:rFonts w:ascii="Calibri" w:eastAsia="Calibri" w:hAnsi="Calibri" w:cs="Calibri"/>
                <w:b/>
              </w:rPr>
              <w:t xml:space="preserve"> </w:t>
            </w:r>
          </w:p>
        </w:tc>
      </w:tr>
      <w:tr w:rsidR="00F05C73" w14:paraId="3FF53900" w14:textId="77777777">
        <w:trPr>
          <w:trHeight w:val="1085"/>
        </w:trPr>
        <w:tc>
          <w:tcPr>
            <w:tcW w:w="2511" w:type="dxa"/>
            <w:tcBorders>
              <w:top w:val="single" w:sz="4" w:space="0" w:color="000000"/>
              <w:left w:val="single" w:sz="4" w:space="0" w:color="000000"/>
              <w:bottom w:val="single" w:sz="4" w:space="0" w:color="000000"/>
              <w:right w:val="single" w:sz="4" w:space="0" w:color="000000"/>
            </w:tcBorders>
          </w:tcPr>
          <w:p w14:paraId="0B86E8E1" w14:textId="77777777" w:rsidR="00F05C73" w:rsidRDefault="00F74ED1">
            <w:pPr>
              <w:spacing w:line="259" w:lineRule="auto"/>
            </w:pPr>
            <w:r>
              <w:t xml:space="preserve">Lay Summary of </w:t>
            </w:r>
          </w:p>
          <w:p w14:paraId="51A0A98C" w14:textId="160DB24E" w:rsidR="00F05C73" w:rsidRDefault="00F74ED1">
            <w:pPr>
              <w:spacing w:line="239" w:lineRule="auto"/>
            </w:pPr>
            <w:r>
              <w:t xml:space="preserve">Authorised Research (from the </w:t>
            </w:r>
            <w:r w:rsidR="007D7CEC">
              <w:t>Expression of Interest</w:t>
            </w:r>
            <w:r>
              <w:t xml:space="preserve">): </w:t>
            </w:r>
          </w:p>
          <w:p w14:paraId="1B954757" w14:textId="77777777" w:rsidR="00F05C73" w:rsidRDefault="00F74ED1">
            <w:pPr>
              <w:spacing w:line="259" w:lineRule="auto"/>
            </w:pPr>
            <w:r>
              <w:t xml:space="preserve"> </w:t>
            </w:r>
          </w:p>
        </w:tc>
        <w:tc>
          <w:tcPr>
            <w:tcW w:w="6841" w:type="dxa"/>
            <w:tcBorders>
              <w:top w:val="single" w:sz="4" w:space="0" w:color="000000"/>
              <w:left w:val="single" w:sz="4" w:space="0" w:color="000000"/>
              <w:bottom w:val="single" w:sz="4" w:space="0" w:color="000000"/>
              <w:right w:val="single" w:sz="4" w:space="0" w:color="000000"/>
            </w:tcBorders>
          </w:tcPr>
          <w:p w14:paraId="48DE8229" w14:textId="624680CE" w:rsidR="00F05C73" w:rsidRDefault="00F74ED1">
            <w:pPr>
              <w:spacing w:line="259" w:lineRule="auto"/>
            </w:pPr>
            <w:r>
              <w:rPr>
                <w:rFonts w:ascii="Calibri" w:eastAsia="Calibri" w:hAnsi="Calibri" w:cs="Calibri"/>
                <w:i/>
              </w:rPr>
              <w:t xml:space="preserve">* Copy lay summary from </w:t>
            </w:r>
            <w:r w:rsidR="007D7CEC">
              <w:rPr>
                <w:rFonts w:ascii="Calibri" w:eastAsia="Calibri" w:hAnsi="Calibri" w:cs="Calibri"/>
                <w:i/>
              </w:rPr>
              <w:t>Expression of Interest</w:t>
            </w:r>
            <w:r>
              <w:rPr>
                <w:rFonts w:ascii="Calibri" w:eastAsia="Calibri" w:hAnsi="Calibri" w:cs="Calibri"/>
                <w:i/>
              </w:rPr>
              <w:t xml:space="preserve"> into this field. </w:t>
            </w:r>
          </w:p>
          <w:p w14:paraId="1B344985" w14:textId="77777777" w:rsidR="00F05C73" w:rsidRDefault="00F74ED1">
            <w:pPr>
              <w:spacing w:line="259" w:lineRule="auto"/>
            </w:pPr>
            <w:r>
              <w:rPr>
                <w:rFonts w:ascii="Calibri" w:eastAsia="Calibri" w:hAnsi="Calibri" w:cs="Calibri"/>
                <w:b/>
              </w:rPr>
              <w:t xml:space="preserve"> </w:t>
            </w:r>
          </w:p>
        </w:tc>
      </w:tr>
      <w:tr w:rsidR="00F05C73" w14:paraId="3B06B6D6" w14:textId="77777777">
        <w:trPr>
          <w:trHeight w:val="816"/>
        </w:trPr>
        <w:tc>
          <w:tcPr>
            <w:tcW w:w="2511" w:type="dxa"/>
            <w:tcBorders>
              <w:top w:val="single" w:sz="4" w:space="0" w:color="000000"/>
              <w:left w:val="single" w:sz="4" w:space="0" w:color="000000"/>
              <w:bottom w:val="single" w:sz="4" w:space="0" w:color="000000"/>
              <w:right w:val="single" w:sz="4" w:space="0" w:color="000000"/>
            </w:tcBorders>
          </w:tcPr>
          <w:p w14:paraId="3D988BFE" w14:textId="77777777" w:rsidR="00F05C73" w:rsidRDefault="00F74ED1">
            <w:pPr>
              <w:spacing w:line="259" w:lineRule="auto"/>
            </w:pPr>
            <w:r>
              <w:t xml:space="preserve">Access Period </w:t>
            </w:r>
          </w:p>
        </w:tc>
        <w:tc>
          <w:tcPr>
            <w:tcW w:w="6841" w:type="dxa"/>
            <w:tcBorders>
              <w:top w:val="single" w:sz="4" w:space="0" w:color="000000"/>
              <w:left w:val="single" w:sz="4" w:space="0" w:color="000000"/>
              <w:bottom w:val="single" w:sz="4" w:space="0" w:color="000000"/>
              <w:right w:val="single" w:sz="4" w:space="0" w:color="000000"/>
            </w:tcBorders>
          </w:tcPr>
          <w:p w14:paraId="203F64B2" w14:textId="14842E81" w:rsidR="00F05C73" w:rsidRDefault="00F74ED1">
            <w:pPr>
              <w:spacing w:line="259" w:lineRule="auto"/>
              <w:ind w:right="48"/>
            </w:pPr>
            <w:r>
              <w:t xml:space="preserve">The Access Period is from the date that this agreement is effective (when the last person to sign has signed) until the date specified on the </w:t>
            </w:r>
            <w:r w:rsidR="00733103">
              <w:t>Expression of Interest</w:t>
            </w:r>
            <w:r>
              <w:t xml:space="preserve"> or amendment in Schedule 4. </w:t>
            </w:r>
          </w:p>
        </w:tc>
      </w:tr>
      <w:tr w:rsidR="00F05C73" w14:paraId="7776E552" w14:textId="77777777" w:rsidTr="00733103">
        <w:trPr>
          <w:trHeight w:val="980"/>
        </w:trPr>
        <w:tc>
          <w:tcPr>
            <w:tcW w:w="2511" w:type="dxa"/>
            <w:tcBorders>
              <w:top w:val="single" w:sz="4" w:space="0" w:color="000000"/>
              <w:left w:val="single" w:sz="4" w:space="0" w:color="000000"/>
              <w:bottom w:val="single" w:sz="4" w:space="0" w:color="000000"/>
              <w:right w:val="single" w:sz="4" w:space="0" w:color="000000"/>
            </w:tcBorders>
          </w:tcPr>
          <w:p w14:paraId="0BA11619" w14:textId="4673FAA2" w:rsidR="00F05C73" w:rsidRDefault="00F74ED1">
            <w:pPr>
              <w:spacing w:line="239" w:lineRule="auto"/>
            </w:pPr>
            <w:r>
              <w:t>Licensed Datasets</w:t>
            </w:r>
            <w:r>
              <w:rPr>
                <w:rFonts w:ascii="Calibri" w:eastAsia="Calibri" w:hAnsi="Calibri" w:cs="Calibri"/>
              </w:rPr>
              <w:t>†</w:t>
            </w:r>
            <w:r>
              <w:t xml:space="preserve">: </w:t>
            </w:r>
          </w:p>
          <w:p w14:paraId="3DD97534" w14:textId="77777777" w:rsidR="00F05C73" w:rsidRDefault="00F74ED1">
            <w:pPr>
              <w:spacing w:line="259" w:lineRule="auto"/>
            </w:pPr>
            <w:r>
              <w:t xml:space="preserve"> </w:t>
            </w:r>
          </w:p>
        </w:tc>
        <w:tc>
          <w:tcPr>
            <w:tcW w:w="6841" w:type="dxa"/>
            <w:tcBorders>
              <w:top w:val="single" w:sz="4" w:space="0" w:color="000000"/>
              <w:left w:val="single" w:sz="4" w:space="0" w:color="000000"/>
              <w:bottom w:val="single" w:sz="4" w:space="0" w:color="000000"/>
              <w:right w:val="single" w:sz="4" w:space="0" w:color="000000"/>
            </w:tcBorders>
          </w:tcPr>
          <w:p w14:paraId="5BEE9B37" w14:textId="23F65F32" w:rsidR="00F05C73" w:rsidRDefault="00733103" w:rsidP="00733103">
            <w:r>
              <w:t xml:space="preserve">The Licensed Datasets are those indicated in Section 7 of the Expression of Interest or listed in Schedule </w:t>
            </w:r>
            <w:r w:rsidR="00D5629C">
              <w:t>3</w:t>
            </w:r>
            <w:r>
              <w:t>.</w:t>
            </w:r>
          </w:p>
          <w:p w14:paraId="31B492F7" w14:textId="1C7BFEE7" w:rsidR="00733103" w:rsidRDefault="00733103" w:rsidP="00733103"/>
        </w:tc>
      </w:tr>
      <w:tr w:rsidR="00F05C73" w14:paraId="3814A950" w14:textId="77777777">
        <w:trPr>
          <w:trHeight w:val="817"/>
        </w:trPr>
        <w:tc>
          <w:tcPr>
            <w:tcW w:w="2511" w:type="dxa"/>
            <w:tcBorders>
              <w:top w:val="single" w:sz="4" w:space="0" w:color="000000"/>
              <w:left w:val="single" w:sz="4" w:space="0" w:color="000000"/>
              <w:bottom w:val="single" w:sz="4" w:space="0" w:color="000000"/>
              <w:right w:val="single" w:sz="4" w:space="0" w:color="000000"/>
            </w:tcBorders>
          </w:tcPr>
          <w:p w14:paraId="43BFB7FA" w14:textId="77777777" w:rsidR="00F05C73" w:rsidRDefault="00F74ED1">
            <w:r>
              <w:t xml:space="preserve">Data provision mechanism: </w:t>
            </w:r>
          </w:p>
          <w:p w14:paraId="2D01C0DF" w14:textId="77777777" w:rsidR="00F05C73" w:rsidRDefault="00F74ED1">
            <w:pPr>
              <w:spacing w:line="259" w:lineRule="auto"/>
            </w:pPr>
            <w:r>
              <w:rPr>
                <w:rFonts w:ascii="Calibri" w:eastAsia="Calibri" w:hAnsi="Calibri" w:cs="Calibri"/>
                <w:b/>
              </w:rPr>
              <w:t xml:space="preserve"> </w:t>
            </w:r>
          </w:p>
        </w:tc>
        <w:tc>
          <w:tcPr>
            <w:tcW w:w="6841" w:type="dxa"/>
            <w:tcBorders>
              <w:top w:val="single" w:sz="4" w:space="0" w:color="000000"/>
              <w:left w:val="single" w:sz="4" w:space="0" w:color="000000"/>
              <w:bottom w:val="single" w:sz="4" w:space="0" w:color="000000"/>
              <w:right w:val="single" w:sz="4" w:space="0" w:color="000000"/>
            </w:tcBorders>
          </w:tcPr>
          <w:p w14:paraId="3750F6B1" w14:textId="6872FA39" w:rsidR="00F05C73" w:rsidRDefault="00733103">
            <w:pPr>
              <w:spacing w:line="259" w:lineRule="auto"/>
              <w:ind w:right="48"/>
            </w:pPr>
            <w:r>
              <w:t>Data will be transferred by Cisco encrypted email or by Kiteworks secure file transfer service.</w:t>
            </w:r>
          </w:p>
        </w:tc>
      </w:tr>
      <w:tr w:rsidR="00F05C73" w14:paraId="459A25A8" w14:textId="77777777">
        <w:trPr>
          <w:trHeight w:val="816"/>
        </w:trPr>
        <w:tc>
          <w:tcPr>
            <w:tcW w:w="2511" w:type="dxa"/>
            <w:tcBorders>
              <w:top w:val="single" w:sz="4" w:space="0" w:color="000000"/>
              <w:left w:val="single" w:sz="4" w:space="0" w:color="000000"/>
              <w:bottom w:val="single" w:sz="4" w:space="0" w:color="000000"/>
              <w:right w:val="single" w:sz="4" w:space="0" w:color="000000"/>
            </w:tcBorders>
          </w:tcPr>
          <w:p w14:paraId="0BB020B5" w14:textId="1DF64862" w:rsidR="00F05C73" w:rsidRDefault="00F74ED1">
            <w:pPr>
              <w:spacing w:line="239" w:lineRule="auto"/>
            </w:pPr>
            <w:r>
              <w:t xml:space="preserve">Data Access Cost: </w:t>
            </w:r>
          </w:p>
          <w:p w14:paraId="7EE36D88" w14:textId="77777777" w:rsidR="00F05C73" w:rsidRDefault="00F74ED1">
            <w:pPr>
              <w:spacing w:line="259" w:lineRule="auto"/>
            </w:pPr>
            <w:r>
              <w:t xml:space="preserve"> </w:t>
            </w:r>
          </w:p>
        </w:tc>
        <w:tc>
          <w:tcPr>
            <w:tcW w:w="6841" w:type="dxa"/>
            <w:tcBorders>
              <w:top w:val="single" w:sz="4" w:space="0" w:color="000000"/>
              <w:left w:val="single" w:sz="4" w:space="0" w:color="000000"/>
              <w:bottom w:val="single" w:sz="4" w:space="0" w:color="000000"/>
              <w:right w:val="single" w:sz="4" w:space="0" w:color="000000"/>
            </w:tcBorders>
          </w:tcPr>
          <w:p w14:paraId="75EDF9EE" w14:textId="77777777" w:rsidR="00F05C73" w:rsidRDefault="00F74ED1">
            <w:pPr>
              <w:spacing w:line="259" w:lineRule="auto"/>
            </w:pPr>
            <w:r>
              <w:rPr>
                <w:rFonts w:ascii="Calibri" w:eastAsia="Calibri" w:hAnsi="Calibri" w:cs="Calibri"/>
                <w:b/>
              </w:rPr>
              <w:t xml:space="preserve">£ </w:t>
            </w:r>
          </w:p>
        </w:tc>
      </w:tr>
      <w:tr w:rsidR="00F05C73" w14:paraId="45B52C36" w14:textId="77777777">
        <w:trPr>
          <w:trHeight w:val="816"/>
        </w:trPr>
        <w:tc>
          <w:tcPr>
            <w:tcW w:w="2511" w:type="dxa"/>
            <w:tcBorders>
              <w:top w:val="single" w:sz="4" w:space="0" w:color="000000"/>
              <w:left w:val="single" w:sz="4" w:space="0" w:color="000000"/>
              <w:bottom w:val="single" w:sz="4" w:space="0" w:color="000000"/>
              <w:right w:val="single" w:sz="4" w:space="0" w:color="000000"/>
            </w:tcBorders>
          </w:tcPr>
          <w:p w14:paraId="45A38429" w14:textId="2529763A" w:rsidR="00F05C73" w:rsidRDefault="00733103">
            <w:pPr>
              <w:spacing w:line="239" w:lineRule="auto"/>
            </w:pPr>
            <w:r>
              <w:t>Receiving Organisation Authorised Signatory</w:t>
            </w:r>
            <w:r w:rsidR="00F74ED1">
              <w:t xml:space="preserve">: </w:t>
            </w:r>
          </w:p>
          <w:p w14:paraId="2D11E27A" w14:textId="77777777" w:rsidR="00F05C73" w:rsidRDefault="00F74ED1">
            <w:pPr>
              <w:spacing w:line="259" w:lineRule="auto"/>
            </w:pPr>
            <w:r>
              <w:t xml:space="preserve"> </w:t>
            </w:r>
          </w:p>
        </w:tc>
        <w:tc>
          <w:tcPr>
            <w:tcW w:w="6841" w:type="dxa"/>
            <w:tcBorders>
              <w:top w:val="single" w:sz="4" w:space="0" w:color="000000"/>
              <w:left w:val="single" w:sz="4" w:space="0" w:color="000000"/>
              <w:bottom w:val="single" w:sz="4" w:space="0" w:color="000000"/>
              <w:right w:val="single" w:sz="4" w:space="0" w:color="000000"/>
            </w:tcBorders>
          </w:tcPr>
          <w:p w14:paraId="222A2409" w14:textId="35CA8F59" w:rsidR="00F05C73" w:rsidRDefault="00F74ED1">
            <w:pPr>
              <w:spacing w:line="259" w:lineRule="auto"/>
            </w:pPr>
            <w:r>
              <w:rPr>
                <w:rFonts w:ascii="Calibri" w:eastAsia="Calibri" w:hAnsi="Calibri" w:cs="Calibri"/>
                <w:i/>
              </w:rPr>
              <w:t xml:space="preserve">*Please include the name and contact details of your institution’s legal contact(s) </w:t>
            </w:r>
            <w:r w:rsidR="00733103">
              <w:rPr>
                <w:rFonts w:ascii="Calibri" w:eastAsia="Calibri" w:hAnsi="Calibri" w:cs="Calibri"/>
                <w:i/>
              </w:rPr>
              <w:t>or authorised signatory</w:t>
            </w:r>
          </w:p>
        </w:tc>
      </w:tr>
      <w:tr w:rsidR="00F05C73" w14:paraId="5D5DAAC2" w14:textId="77777777">
        <w:trPr>
          <w:trHeight w:val="2981"/>
        </w:trPr>
        <w:tc>
          <w:tcPr>
            <w:tcW w:w="2511" w:type="dxa"/>
            <w:tcBorders>
              <w:top w:val="single" w:sz="4" w:space="0" w:color="000000"/>
              <w:left w:val="single" w:sz="4" w:space="0" w:color="000000"/>
              <w:bottom w:val="single" w:sz="4" w:space="0" w:color="000000"/>
              <w:right w:val="single" w:sz="4" w:space="0" w:color="000000"/>
            </w:tcBorders>
          </w:tcPr>
          <w:p w14:paraId="0C62A255" w14:textId="77777777" w:rsidR="00F05C73" w:rsidRDefault="00F74ED1">
            <w:pPr>
              <w:spacing w:line="259" w:lineRule="auto"/>
              <w:ind w:right="548"/>
            </w:pPr>
            <w:r>
              <w:lastRenderedPageBreak/>
              <w:t xml:space="preserve">International Data Transfer Agreement </w:t>
            </w:r>
            <w:r>
              <w:rPr>
                <w:rFonts w:ascii="Calibri" w:eastAsia="Calibri" w:hAnsi="Calibri" w:cs="Calibri"/>
              </w:rPr>
              <w:t>(“IDTA”)</w:t>
            </w:r>
            <w:r>
              <w:t xml:space="preserve">: </w:t>
            </w:r>
          </w:p>
        </w:tc>
        <w:tc>
          <w:tcPr>
            <w:tcW w:w="6841" w:type="dxa"/>
            <w:tcBorders>
              <w:top w:val="single" w:sz="4" w:space="0" w:color="000000"/>
              <w:left w:val="single" w:sz="4" w:space="0" w:color="000000"/>
              <w:bottom w:val="single" w:sz="4" w:space="0" w:color="000000"/>
              <w:right w:val="single" w:sz="4" w:space="0" w:color="000000"/>
            </w:tcBorders>
          </w:tcPr>
          <w:p w14:paraId="3EFA426A" w14:textId="1CC6C847" w:rsidR="00F05C73" w:rsidRDefault="00F74ED1">
            <w:pPr>
              <w:spacing w:line="239" w:lineRule="auto"/>
              <w:ind w:right="47"/>
            </w:pPr>
            <w:r>
              <w:rPr>
                <w:rFonts w:ascii="Calibri" w:eastAsia="Calibri" w:hAnsi="Calibri" w:cs="Calibri"/>
                <w:i/>
              </w:rPr>
              <w:t xml:space="preserve">*Applicable only if the </w:t>
            </w:r>
            <w:r w:rsidR="00A46068">
              <w:rPr>
                <w:rFonts w:ascii="Calibri" w:eastAsia="Calibri" w:hAnsi="Calibri" w:cs="Calibri"/>
                <w:i/>
              </w:rPr>
              <w:t>Receiving Organisation</w:t>
            </w:r>
            <w:r>
              <w:rPr>
                <w:rFonts w:ascii="Calibri" w:eastAsia="Calibri" w:hAnsi="Calibri" w:cs="Calibri"/>
                <w:i/>
              </w:rPr>
              <w:t xml:space="preserve"> is based in a country outside the UK and </w:t>
            </w:r>
            <w:r>
              <w:rPr>
                <w:rFonts w:ascii="Calibri" w:eastAsia="Calibri" w:hAnsi="Calibri" w:cs="Calibri"/>
                <w:b/>
                <w:i/>
              </w:rPr>
              <w:t>does not</w:t>
            </w:r>
            <w:r>
              <w:rPr>
                <w:rFonts w:ascii="Calibri" w:eastAsia="Calibri" w:hAnsi="Calibri" w:cs="Calibri"/>
                <w:i/>
              </w:rPr>
              <w:t xml:space="preserve"> have an adequacy decision in line with Data Protection Legislation (as defined in this Agreement). </w:t>
            </w:r>
          </w:p>
          <w:p w14:paraId="21D2A471" w14:textId="77777777" w:rsidR="00F05C73" w:rsidRDefault="00F74ED1">
            <w:pPr>
              <w:spacing w:line="259" w:lineRule="auto"/>
            </w:pPr>
            <w:r>
              <w:rPr>
                <w:rFonts w:ascii="Calibri" w:eastAsia="Calibri" w:hAnsi="Calibri" w:cs="Calibri"/>
                <w:i/>
              </w:rPr>
              <w:t xml:space="preserve"> </w:t>
            </w:r>
          </w:p>
          <w:p w14:paraId="28FB44EA" w14:textId="6D82022C" w:rsidR="00F05C73" w:rsidRDefault="00A46068">
            <w:pPr>
              <w:spacing w:after="1" w:line="238" w:lineRule="auto"/>
              <w:ind w:right="48"/>
            </w:pPr>
            <w:r>
              <w:t>Receiving Organisation</w:t>
            </w:r>
            <w:r w:rsidR="00F74ED1">
              <w:t xml:space="preserve"> to complete table 1 of the IDTA to provide </w:t>
            </w:r>
            <w:r w:rsidR="00F74ED1">
              <w:rPr>
                <w:rFonts w:ascii="Calibri" w:eastAsia="Calibri" w:hAnsi="Calibri" w:cs="Calibri"/>
              </w:rPr>
              <w:t xml:space="preserve">“Importer” </w:t>
            </w:r>
            <w:r w:rsidR="00F74ED1">
              <w:t xml:space="preserve">details only and to sign the IDTA on page 2. Please return the completed, signed IDTA to </w:t>
            </w:r>
            <w:r w:rsidR="00580A57">
              <w:t>BiB</w:t>
            </w:r>
            <w:r w:rsidR="00F74ED1">
              <w:t xml:space="preserve"> for checking and countersigning. </w:t>
            </w:r>
          </w:p>
          <w:p w14:paraId="4A8F91E2" w14:textId="77777777" w:rsidR="00F05C73" w:rsidRDefault="00F74ED1">
            <w:pPr>
              <w:spacing w:after="15" w:line="259" w:lineRule="auto"/>
            </w:pPr>
            <w:r>
              <w:t xml:space="preserve"> </w:t>
            </w:r>
          </w:p>
          <w:p w14:paraId="00DC72E2" w14:textId="491A399F" w:rsidR="00F05C73" w:rsidRDefault="00F74ED1">
            <w:pPr>
              <w:spacing w:line="242" w:lineRule="auto"/>
            </w:pPr>
            <w:r>
              <w:rPr>
                <w:rFonts w:ascii="MS Gothic" w:eastAsia="MS Gothic" w:hAnsi="MS Gothic" w:cs="MS Gothic"/>
              </w:rPr>
              <w:t>☐</w:t>
            </w:r>
            <w:r>
              <w:t xml:space="preserve"> Please tick to confirm the partially signed IDTA has been returned to </w:t>
            </w:r>
            <w:r w:rsidR="00BB31DD">
              <w:t>Born in Bradford</w:t>
            </w:r>
            <w:r>
              <w:t xml:space="preserve"> with this DAA. </w:t>
            </w:r>
          </w:p>
          <w:p w14:paraId="242FEB2C" w14:textId="77777777" w:rsidR="00F05C73" w:rsidRDefault="00F74ED1">
            <w:pPr>
              <w:spacing w:line="259" w:lineRule="auto"/>
            </w:pPr>
            <w:r>
              <w:rPr>
                <w:rFonts w:ascii="Calibri" w:eastAsia="Calibri" w:hAnsi="Calibri" w:cs="Calibri"/>
                <w:i/>
              </w:rPr>
              <w:t xml:space="preserve"> </w:t>
            </w:r>
          </w:p>
        </w:tc>
      </w:tr>
      <w:tr w:rsidR="00F05C73" w14:paraId="10DD7848" w14:textId="77777777">
        <w:trPr>
          <w:trHeight w:val="1085"/>
        </w:trPr>
        <w:tc>
          <w:tcPr>
            <w:tcW w:w="2511" w:type="dxa"/>
            <w:tcBorders>
              <w:top w:val="single" w:sz="4" w:space="0" w:color="000000"/>
              <w:left w:val="single" w:sz="4" w:space="0" w:color="000000"/>
              <w:bottom w:val="single" w:sz="4" w:space="0" w:color="000000"/>
              <w:right w:val="single" w:sz="4" w:space="0" w:color="000000"/>
            </w:tcBorders>
          </w:tcPr>
          <w:p w14:paraId="41D989E8" w14:textId="77777777" w:rsidR="00F05C73" w:rsidRDefault="00F74ED1">
            <w:pPr>
              <w:spacing w:line="259" w:lineRule="auto"/>
            </w:pPr>
            <w:r>
              <w:t xml:space="preserve">Special Conditions: </w:t>
            </w:r>
          </w:p>
        </w:tc>
        <w:tc>
          <w:tcPr>
            <w:tcW w:w="6841" w:type="dxa"/>
            <w:tcBorders>
              <w:top w:val="single" w:sz="4" w:space="0" w:color="000000"/>
              <w:left w:val="single" w:sz="4" w:space="0" w:color="000000"/>
              <w:bottom w:val="single" w:sz="4" w:space="0" w:color="000000"/>
              <w:right w:val="single" w:sz="4" w:space="0" w:color="000000"/>
            </w:tcBorders>
          </w:tcPr>
          <w:p w14:paraId="518C5D20" w14:textId="37A514DC" w:rsidR="00F05C73" w:rsidRDefault="00F74ED1">
            <w:pPr>
              <w:spacing w:line="259" w:lineRule="auto"/>
              <w:ind w:right="51"/>
            </w:pPr>
            <w:r>
              <w:rPr>
                <w:rFonts w:ascii="Calibri" w:eastAsia="Calibri" w:hAnsi="Calibri" w:cs="Calibri"/>
                <w:i/>
              </w:rPr>
              <w:t xml:space="preserve">* </w:t>
            </w:r>
            <w:r w:rsidR="00580A57">
              <w:rPr>
                <w:rFonts w:ascii="Calibri" w:eastAsia="Calibri" w:hAnsi="Calibri" w:cs="Calibri"/>
                <w:i/>
              </w:rPr>
              <w:t>B</w:t>
            </w:r>
            <w:r w:rsidR="00BB31DD">
              <w:rPr>
                <w:rFonts w:ascii="Calibri" w:eastAsia="Calibri" w:hAnsi="Calibri" w:cs="Calibri"/>
                <w:i/>
              </w:rPr>
              <w:t>orn in Bradford</w:t>
            </w:r>
            <w:r>
              <w:rPr>
                <w:rFonts w:ascii="Calibri" w:eastAsia="Calibri" w:hAnsi="Calibri" w:cs="Calibri"/>
                <w:i/>
              </w:rPr>
              <w:t xml:space="preserve"> to set out here any additional conditions that are necessary to address the transfer of data to certain countries or platforms or where these are necessary to comply with the requirements of the </w:t>
            </w:r>
            <w:r w:rsidR="00580A57">
              <w:rPr>
                <w:rFonts w:ascii="Calibri" w:eastAsia="Calibri" w:hAnsi="Calibri" w:cs="Calibri"/>
                <w:i/>
              </w:rPr>
              <w:t>Licensed Datasets</w:t>
            </w:r>
          </w:p>
        </w:tc>
      </w:tr>
    </w:tbl>
    <w:p w14:paraId="1B5C2BF7" w14:textId="2AC4E6CB" w:rsidR="00F05C73" w:rsidRDefault="00F74ED1">
      <w:pPr>
        <w:spacing w:after="180"/>
      </w:pPr>
      <w:r>
        <w:rPr>
          <w:rFonts w:ascii="Arial" w:eastAsia="Arial" w:hAnsi="Arial" w:cs="Arial"/>
        </w:rPr>
        <w:t xml:space="preserve">† </w:t>
      </w:r>
      <w:r w:rsidR="00733103">
        <w:rPr>
          <w:rFonts w:ascii="Arial" w:eastAsia="Arial" w:hAnsi="Arial" w:cs="Arial"/>
        </w:rPr>
        <w:t>B</w:t>
      </w:r>
      <w:r w:rsidR="00BB31DD">
        <w:rPr>
          <w:rFonts w:ascii="Arial" w:eastAsia="Arial" w:hAnsi="Arial" w:cs="Arial"/>
        </w:rPr>
        <w:t>orn in Bradford</w:t>
      </w:r>
      <w:r>
        <w:rPr>
          <w:rFonts w:ascii="Arial" w:eastAsia="Arial" w:hAnsi="Arial" w:cs="Arial"/>
        </w:rPr>
        <w:t xml:space="preserve"> reserve the right to amend the definition of the </w:t>
      </w:r>
      <w:r w:rsidR="00580A57">
        <w:rPr>
          <w:rFonts w:ascii="Arial" w:eastAsia="Arial" w:hAnsi="Arial" w:cs="Arial"/>
        </w:rPr>
        <w:t>Licensed Datasets</w:t>
      </w:r>
      <w:r>
        <w:rPr>
          <w:rFonts w:ascii="Arial" w:eastAsia="Arial" w:hAnsi="Arial" w:cs="Arial"/>
        </w:rPr>
        <w:t xml:space="preserve"> over the lifetime of the agreement. </w:t>
      </w:r>
    </w:p>
    <w:p w14:paraId="3A0F52FC" w14:textId="77777777" w:rsidR="00F05C73" w:rsidRDefault="00F74ED1">
      <w:pPr>
        <w:spacing w:after="0"/>
        <w:ind w:left="4681"/>
      </w:pPr>
      <w:r>
        <w:rPr>
          <w:rFonts w:ascii="Arial" w:eastAsia="Arial" w:hAnsi="Arial" w:cs="Arial"/>
        </w:rPr>
        <w:t xml:space="preserve"> </w:t>
      </w:r>
      <w:r>
        <w:rPr>
          <w:rFonts w:ascii="Arial" w:eastAsia="Arial" w:hAnsi="Arial" w:cs="Arial"/>
        </w:rPr>
        <w:tab/>
      </w:r>
      <w:r>
        <w:rPr>
          <w:rFonts w:ascii="Arial" w:eastAsia="Arial" w:hAnsi="Arial" w:cs="Arial"/>
          <w:b/>
        </w:rPr>
        <w:t xml:space="preserve"> </w:t>
      </w:r>
      <w:r>
        <w:br w:type="page"/>
      </w:r>
    </w:p>
    <w:p w14:paraId="78EF667C" w14:textId="77777777" w:rsidR="00F05C73" w:rsidRDefault="00F74ED1" w:rsidP="00B3181C">
      <w:pPr>
        <w:pStyle w:val="Heading2"/>
      </w:pPr>
      <w:r>
        <w:rPr>
          <w:rFonts w:eastAsia="Calibri"/>
        </w:rPr>
        <w:lastRenderedPageBreak/>
        <w:t xml:space="preserve">Introduction </w:t>
      </w:r>
    </w:p>
    <w:p w14:paraId="133B9431" w14:textId="77777777" w:rsidR="00F05C73" w:rsidRDefault="00F74ED1">
      <w:pPr>
        <w:spacing w:after="0"/>
      </w:pPr>
      <w:r>
        <w:rPr>
          <w:rFonts w:ascii="Calibri" w:eastAsia="Calibri" w:hAnsi="Calibri" w:cs="Calibri"/>
          <w:b/>
        </w:rPr>
        <w:t xml:space="preserve"> </w:t>
      </w:r>
    </w:p>
    <w:p w14:paraId="6EAA95D7" w14:textId="0DCF6049" w:rsidR="00F05C73" w:rsidRPr="00F74ED1" w:rsidRDefault="007914E9" w:rsidP="00F74ED1">
      <w:pPr>
        <w:numPr>
          <w:ilvl w:val="0"/>
          <w:numId w:val="1"/>
        </w:numPr>
        <w:spacing w:after="1" w:line="258" w:lineRule="auto"/>
        <w:ind w:right="-9" w:hanging="566"/>
      </w:pPr>
      <w:r>
        <w:t>Bradford Teaching Hospitals NHS Foundation Trust</w:t>
      </w:r>
      <w:r w:rsidR="00F74ED1">
        <w:t xml:space="preserve"> </w:t>
      </w:r>
      <w:r w:rsidR="00F74ED1">
        <w:rPr>
          <w:rFonts w:ascii="Calibri" w:eastAsia="Calibri" w:hAnsi="Calibri" w:cs="Calibri"/>
        </w:rPr>
        <w:t>(</w:t>
      </w:r>
      <w:r>
        <w:rPr>
          <w:rFonts w:ascii="Calibri" w:eastAsia="Calibri" w:hAnsi="Calibri" w:cs="Calibri"/>
        </w:rPr>
        <w:t>“</w:t>
      </w:r>
      <w:r w:rsidRPr="00BB31DD">
        <w:rPr>
          <w:rFonts w:ascii="Calibri" w:eastAsia="Calibri" w:hAnsi="Calibri" w:cs="Calibri"/>
          <w:b/>
          <w:bCs/>
        </w:rPr>
        <w:t>BTHFT</w:t>
      </w:r>
      <w:r>
        <w:rPr>
          <w:rFonts w:ascii="Calibri" w:eastAsia="Calibri" w:hAnsi="Calibri" w:cs="Calibri"/>
        </w:rPr>
        <w:t>”</w:t>
      </w:r>
      <w:r w:rsidR="00F74ED1">
        <w:rPr>
          <w:rFonts w:ascii="Calibri" w:eastAsia="Calibri" w:hAnsi="Calibri" w:cs="Calibri"/>
        </w:rPr>
        <w:t>)</w:t>
      </w:r>
      <w:r w:rsidR="00F74ED1">
        <w:t xml:space="preserve">, through </w:t>
      </w:r>
      <w:r w:rsidR="00BB31DD">
        <w:t xml:space="preserve">Born in Bradford </w:t>
      </w:r>
      <w:r w:rsidR="00F74ED1">
        <w:rPr>
          <w:rFonts w:ascii="Calibri" w:eastAsia="Calibri" w:hAnsi="Calibri" w:cs="Calibri"/>
        </w:rPr>
        <w:t>(the “</w:t>
      </w:r>
      <w:r w:rsidR="00F74ED1">
        <w:rPr>
          <w:rFonts w:ascii="Calibri" w:eastAsia="Calibri" w:hAnsi="Calibri" w:cs="Calibri"/>
          <w:b/>
        </w:rPr>
        <w:t>Study</w:t>
      </w:r>
      <w:r w:rsidR="00F74ED1">
        <w:rPr>
          <w:rFonts w:ascii="Calibri" w:eastAsia="Calibri" w:hAnsi="Calibri" w:cs="Calibri"/>
        </w:rPr>
        <w:t>”</w:t>
      </w:r>
      <w:r w:rsidR="002A374F">
        <w:rPr>
          <w:rFonts w:ascii="Calibri" w:eastAsia="Calibri" w:hAnsi="Calibri" w:cs="Calibri"/>
        </w:rPr>
        <w:t xml:space="preserve"> and also known as “</w:t>
      </w:r>
      <w:r w:rsidR="002A374F" w:rsidRPr="002A374F">
        <w:rPr>
          <w:rFonts w:ascii="Calibri" w:eastAsia="Calibri" w:hAnsi="Calibri" w:cs="Calibri"/>
          <w:b/>
          <w:bCs/>
        </w:rPr>
        <w:t>BIB</w:t>
      </w:r>
      <w:r w:rsidR="002A374F">
        <w:rPr>
          <w:rFonts w:ascii="Calibri" w:eastAsia="Calibri" w:hAnsi="Calibri" w:cs="Calibri"/>
        </w:rPr>
        <w:t>”</w:t>
      </w:r>
      <w:r w:rsidR="00F74ED1">
        <w:rPr>
          <w:rFonts w:ascii="Calibri" w:eastAsia="Calibri" w:hAnsi="Calibri" w:cs="Calibri"/>
        </w:rPr>
        <w:t xml:space="preserve">), has collected and is custodian of </w:t>
      </w:r>
      <w:r w:rsidR="00F74ED1">
        <w:t xml:space="preserve">certain datasets and collections of </w:t>
      </w:r>
      <w:r w:rsidR="00F74ED1">
        <w:rPr>
          <w:rFonts w:ascii="Calibri" w:eastAsia="Calibri" w:hAnsi="Calibri" w:cs="Calibri"/>
        </w:rPr>
        <w:t>interpretable data (“</w:t>
      </w:r>
      <w:r w:rsidR="00F74ED1">
        <w:rPr>
          <w:rFonts w:ascii="Calibri" w:eastAsia="Calibri" w:hAnsi="Calibri" w:cs="Calibri"/>
          <w:b/>
        </w:rPr>
        <w:t>Information</w:t>
      </w:r>
      <w:r w:rsidR="00F74ED1">
        <w:rPr>
          <w:rFonts w:ascii="Calibri" w:eastAsia="Calibri" w:hAnsi="Calibri" w:cs="Calibri"/>
        </w:rPr>
        <w:t>”).  This is derived from information provided by or obtained from participants in the Study (“</w:t>
      </w:r>
      <w:r w:rsidR="00F74ED1">
        <w:rPr>
          <w:rFonts w:ascii="Calibri" w:eastAsia="Calibri" w:hAnsi="Calibri" w:cs="Calibri"/>
          <w:b/>
        </w:rPr>
        <w:t>Study Participants</w:t>
      </w:r>
      <w:r w:rsidR="00F74ED1">
        <w:rPr>
          <w:rFonts w:ascii="Calibri" w:eastAsia="Calibri" w:hAnsi="Calibri" w:cs="Calibri"/>
        </w:rPr>
        <w:t xml:space="preserve">”). </w:t>
      </w:r>
    </w:p>
    <w:p w14:paraId="11591A2E" w14:textId="77777777" w:rsidR="00F74ED1" w:rsidRDefault="00F74ED1" w:rsidP="00F74ED1">
      <w:pPr>
        <w:spacing w:after="1" w:line="258" w:lineRule="auto"/>
        <w:ind w:left="566" w:right="-9"/>
      </w:pPr>
    </w:p>
    <w:p w14:paraId="21434707" w14:textId="185468B8" w:rsidR="00F05C73" w:rsidRDefault="00F74ED1">
      <w:pPr>
        <w:numPr>
          <w:ilvl w:val="0"/>
          <w:numId w:val="1"/>
        </w:numPr>
        <w:spacing w:after="0" w:line="258" w:lineRule="auto"/>
        <w:ind w:right="-9" w:hanging="566"/>
      </w:pPr>
      <w:r>
        <w:t xml:space="preserve">The Lead Applicant is an employee of or holds an honorary research contract (or equivalent) with the </w:t>
      </w:r>
      <w:r w:rsidR="00A46068">
        <w:t>Receiving Organisation</w:t>
      </w:r>
      <w:r>
        <w:t xml:space="preserve"> or is a student registered at the </w:t>
      </w:r>
      <w:r w:rsidR="00A46068">
        <w:t>Receiving Organisation</w:t>
      </w:r>
      <w:r>
        <w:t xml:space="preserve"> and is under the supervision of an employee and wishes to use the Licensed Datasets comprised in the Information held by the Study. The Licensed Datasets are to be used by the Lead Applicant for the purposes of the Authorised Research as agreed by the Executive. </w:t>
      </w:r>
    </w:p>
    <w:p w14:paraId="2D089D01" w14:textId="77777777" w:rsidR="00F05C73" w:rsidRDefault="00F74ED1">
      <w:pPr>
        <w:spacing w:after="0"/>
      </w:pPr>
      <w:r>
        <w:t xml:space="preserve"> </w:t>
      </w:r>
    </w:p>
    <w:p w14:paraId="3E7BF173" w14:textId="76712E5B" w:rsidR="00F05C73" w:rsidRDefault="007914E9">
      <w:pPr>
        <w:numPr>
          <w:ilvl w:val="0"/>
          <w:numId w:val="1"/>
        </w:numPr>
        <w:spacing w:after="159" w:line="258" w:lineRule="auto"/>
        <w:ind w:right="-9" w:hanging="566"/>
      </w:pPr>
      <w:r>
        <w:t>BTHFT</w:t>
      </w:r>
      <w:r w:rsidR="00F74ED1">
        <w:t xml:space="preserve"> is willing to provide the </w:t>
      </w:r>
      <w:r w:rsidR="00A46068">
        <w:t>Receiving Organisation</w:t>
      </w:r>
      <w:r w:rsidR="00F74ED1">
        <w:t xml:space="preserve"> (and through the </w:t>
      </w:r>
      <w:r w:rsidR="00A46068">
        <w:t>Receiving Organisation</w:t>
      </w:r>
      <w:r w:rsidR="00F74ED1">
        <w:t xml:space="preserve">, the Lead Applicant) with access to the Licensed Datasets for the Access Period on the terms and conditions of this agreement. </w:t>
      </w:r>
    </w:p>
    <w:p w14:paraId="33EAAA8F" w14:textId="7F6CBA8B" w:rsidR="00F05C73" w:rsidRDefault="00F74ED1">
      <w:pPr>
        <w:spacing w:after="159" w:line="258" w:lineRule="auto"/>
        <w:ind w:left="-15" w:right="-9"/>
      </w:pPr>
      <w:r>
        <w:t>The agreement comprises the details set out above and the General Terms and Conditions set out over the page.</w:t>
      </w:r>
      <w:r>
        <w:rPr>
          <w:rFonts w:ascii="Calibri" w:eastAsia="Calibri" w:hAnsi="Calibri" w:cs="Calibri"/>
          <w:b/>
        </w:rPr>
        <w:t xml:space="preserve"> </w:t>
      </w:r>
      <w:r w:rsidR="00366B73">
        <w:rPr>
          <w:b/>
          <w:bCs/>
        </w:rPr>
        <w:t>Please note that these terms and conditions are non-negotiable.</w:t>
      </w:r>
    </w:p>
    <w:p w14:paraId="4C9E0B5C" w14:textId="77777777" w:rsidR="00F05C73" w:rsidRDefault="00F74ED1">
      <w:pPr>
        <w:spacing w:after="0"/>
      </w:pPr>
      <w:r>
        <w:rPr>
          <w:rFonts w:ascii="Arial" w:eastAsia="Arial" w:hAnsi="Arial" w:cs="Arial"/>
        </w:rPr>
        <w:t xml:space="preserve"> </w:t>
      </w:r>
    </w:p>
    <w:tbl>
      <w:tblPr>
        <w:tblStyle w:val="TableGrid"/>
        <w:tblW w:w="9242" w:type="dxa"/>
        <w:tblInd w:w="6" w:type="dxa"/>
        <w:tblCellMar>
          <w:top w:w="83" w:type="dxa"/>
          <w:left w:w="107" w:type="dxa"/>
          <w:right w:w="59" w:type="dxa"/>
        </w:tblCellMar>
        <w:tblLook w:val="04A0" w:firstRow="1" w:lastRow="0" w:firstColumn="1" w:lastColumn="0" w:noHBand="0" w:noVBand="1"/>
      </w:tblPr>
      <w:tblGrid>
        <w:gridCol w:w="1524"/>
        <w:gridCol w:w="3096"/>
        <w:gridCol w:w="1441"/>
        <w:gridCol w:w="3181"/>
      </w:tblGrid>
      <w:tr w:rsidR="00F05C73" w14:paraId="5CBC3D6F" w14:textId="77777777">
        <w:trPr>
          <w:trHeight w:val="599"/>
        </w:trPr>
        <w:tc>
          <w:tcPr>
            <w:tcW w:w="4620" w:type="dxa"/>
            <w:gridSpan w:val="2"/>
            <w:tcBorders>
              <w:top w:val="single" w:sz="4" w:space="0" w:color="000000"/>
              <w:left w:val="single" w:sz="4" w:space="0" w:color="000000"/>
              <w:bottom w:val="single" w:sz="4" w:space="0" w:color="000000"/>
              <w:right w:val="single" w:sz="4" w:space="0" w:color="000000"/>
            </w:tcBorders>
            <w:shd w:val="clear" w:color="auto" w:fill="F2F2F2"/>
          </w:tcPr>
          <w:p w14:paraId="6626B956" w14:textId="35942A3B" w:rsidR="00F05C73" w:rsidRDefault="00F74ED1">
            <w:pPr>
              <w:spacing w:line="259" w:lineRule="auto"/>
            </w:pPr>
            <w:r>
              <w:rPr>
                <w:rFonts w:ascii="Calibri" w:eastAsia="Calibri" w:hAnsi="Calibri" w:cs="Calibri"/>
                <w:b/>
              </w:rPr>
              <w:t xml:space="preserve">Signed for and on behalf of </w:t>
            </w:r>
            <w:r w:rsidR="007914E9">
              <w:rPr>
                <w:rFonts w:ascii="Calibri" w:eastAsia="Calibri" w:hAnsi="Calibri" w:cs="Calibri"/>
                <w:b/>
              </w:rPr>
              <w:t>Bradford Teaching Hospitals NHS Foundation Trust</w:t>
            </w:r>
            <w:r>
              <w:rPr>
                <w:rFonts w:ascii="Calibri" w:eastAsia="Calibri" w:hAnsi="Calibri" w:cs="Calibri"/>
                <w:b/>
              </w:rPr>
              <w:t xml:space="preserve"> by a duly authorised person </w:t>
            </w:r>
          </w:p>
        </w:tc>
        <w:tc>
          <w:tcPr>
            <w:tcW w:w="4621" w:type="dxa"/>
            <w:gridSpan w:val="2"/>
            <w:tcBorders>
              <w:top w:val="single" w:sz="4" w:space="0" w:color="000000"/>
              <w:left w:val="single" w:sz="4" w:space="0" w:color="000000"/>
              <w:bottom w:val="single" w:sz="4" w:space="0" w:color="000000"/>
              <w:right w:val="single" w:sz="4" w:space="0" w:color="000000"/>
            </w:tcBorders>
            <w:shd w:val="clear" w:color="auto" w:fill="F2F2F2"/>
          </w:tcPr>
          <w:p w14:paraId="76A10E2D" w14:textId="31A4CED8" w:rsidR="00F05C73" w:rsidRDefault="00F74ED1">
            <w:pPr>
              <w:spacing w:line="259" w:lineRule="auto"/>
            </w:pPr>
            <w:r>
              <w:rPr>
                <w:rFonts w:ascii="Calibri" w:eastAsia="Calibri" w:hAnsi="Calibri" w:cs="Calibri"/>
                <w:b/>
              </w:rPr>
              <w:t xml:space="preserve">Signed for and on behalf of the </w:t>
            </w:r>
            <w:r w:rsidR="007914E9">
              <w:rPr>
                <w:rFonts w:ascii="Calibri" w:eastAsia="Calibri" w:hAnsi="Calibri" w:cs="Calibri"/>
                <w:b/>
              </w:rPr>
              <w:t>Receiving</w:t>
            </w:r>
            <w:r>
              <w:rPr>
                <w:rFonts w:ascii="Calibri" w:eastAsia="Calibri" w:hAnsi="Calibri" w:cs="Calibri"/>
                <w:b/>
              </w:rPr>
              <w:t xml:space="preserve"> </w:t>
            </w:r>
          </w:p>
          <w:p w14:paraId="1BA9D0CE" w14:textId="0333FF8A" w:rsidR="00F05C73" w:rsidRDefault="007914E9">
            <w:pPr>
              <w:spacing w:line="259" w:lineRule="auto"/>
            </w:pPr>
            <w:r>
              <w:rPr>
                <w:rFonts w:ascii="Calibri" w:eastAsia="Calibri" w:hAnsi="Calibri" w:cs="Calibri"/>
                <w:b/>
              </w:rPr>
              <w:t>Organisation</w:t>
            </w:r>
            <w:r w:rsidR="00F74ED1">
              <w:rPr>
                <w:rFonts w:ascii="Calibri" w:eastAsia="Calibri" w:hAnsi="Calibri" w:cs="Calibri"/>
                <w:b/>
              </w:rPr>
              <w:t xml:space="preserve"> by a duly authorised person </w:t>
            </w:r>
          </w:p>
        </w:tc>
      </w:tr>
      <w:tr w:rsidR="00F05C73" w14:paraId="280235C4" w14:textId="77777777">
        <w:trPr>
          <w:trHeight w:val="1451"/>
        </w:trPr>
        <w:tc>
          <w:tcPr>
            <w:tcW w:w="4620" w:type="dxa"/>
            <w:gridSpan w:val="2"/>
            <w:tcBorders>
              <w:top w:val="single" w:sz="4" w:space="0" w:color="000000"/>
              <w:left w:val="single" w:sz="4" w:space="0" w:color="000000"/>
              <w:bottom w:val="single" w:sz="4" w:space="0" w:color="000000"/>
              <w:right w:val="single" w:sz="4" w:space="0" w:color="000000"/>
            </w:tcBorders>
          </w:tcPr>
          <w:p w14:paraId="3C8DB9EB" w14:textId="77777777" w:rsidR="00F05C73" w:rsidRDefault="00F74ED1">
            <w:pPr>
              <w:spacing w:line="259" w:lineRule="auto"/>
            </w:pPr>
            <w:r>
              <w:t xml:space="preserve"> </w:t>
            </w:r>
          </w:p>
          <w:p w14:paraId="24224A1C" w14:textId="77777777" w:rsidR="00F05C73" w:rsidRDefault="00F74ED1">
            <w:pPr>
              <w:spacing w:line="259" w:lineRule="auto"/>
            </w:pPr>
            <w:r>
              <w:t xml:space="preserve"> </w:t>
            </w:r>
          </w:p>
          <w:p w14:paraId="5281D090" w14:textId="77777777" w:rsidR="00F05C73" w:rsidRDefault="00F74ED1">
            <w:pPr>
              <w:spacing w:line="259" w:lineRule="auto"/>
            </w:pPr>
            <w:r>
              <w:t xml:space="preserve"> </w:t>
            </w:r>
          </w:p>
          <w:p w14:paraId="592B0D96" w14:textId="77777777" w:rsidR="00F05C73" w:rsidRDefault="00F74ED1">
            <w:pPr>
              <w:spacing w:line="259" w:lineRule="auto"/>
            </w:pPr>
            <w:r>
              <w:t xml:space="preserve"> </w:t>
            </w:r>
          </w:p>
          <w:p w14:paraId="63B51532" w14:textId="77777777" w:rsidR="00F05C73" w:rsidRDefault="00F74ED1">
            <w:pPr>
              <w:spacing w:line="259" w:lineRule="auto"/>
            </w:pPr>
            <w:r>
              <w:t xml:space="preserve"> </w:t>
            </w:r>
          </w:p>
        </w:tc>
        <w:tc>
          <w:tcPr>
            <w:tcW w:w="4621" w:type="dxa"/>
            <w:gridSpan w:val="2"/>
            <w:tcBorders>
              <w:top w:val="single" w:sz="4" w:space="0" w:color="000000"/>
              <w:left w:val="single" w:sz="4" w:space="0" w:color="000000"/>
              <w:bottom w:val="single" w:sz="4" w:space="0" w:color="000000"/>
              <w:right w:val="single" w:sz="4" w:space="0" w:color="000000"/>
            </w:tcBorders>
          </w:tcPr>
          <w:p w14:paraId="34FB19F9" w14:textId="77777777" w:rsidR="00F05C73" w:rsidRDefault="00F74ED1">
            <w:pPr>
              <w:spacing w:line="259" w:lineRule="auto"/>
            </w:pPr>
            <w:r>
              <w:t xml:space="preserve"> </w:t>
            </w:r>
          </w:p>
          <w:p w14:paraId="20203422" w14:textId="77777777" w:rsidR="00F05C73" w:rsidRDefault="00F74ED1">
            <w:pPr>
              <w:spacing w:line="259" w:lineRule="auto"/>
            </w:pPr>
            <w:r>
              <w:t xml:space="preserve"> </w:t>
            </w:r>
          </w:p>
          <w:p w14:paraId="0E7CCB8E" w14:textId="77777777" w:rsidR="00F05C73" w:rsidRDefault="00F74ED1">
            <w:pPr>
              <w:spacing w:line="259" w:lineRule="auto"/>
            </w:pPr>
            <w:r>
              <w:t xml:space="preserve"> </w:t>
            </w:r>
          </w:p>
          <w:p w14:paraId="6499B9D6" w14:textId="77777777" w:rsidR="00F05C73" w:rsidRDefault="00F74ED1">
            <w:pPr>
              <w:spacing w:line="259" w:lineRule="auto"/>
            </w:pPr>
            <w:r>
              <w:t xml:space="preserve"> </w:t>
            </w:r>
          </w:p>
          <w:p w14:paraId="787B29DF" w14:textId="77777777" w:rsidR="00F05C73" w:rsidRDefault="00F74ED1">
            <w:pPr>
              <w:spacing w:line="259" w:lineRule="auto"/>
            </w:pPr>
            <w:r>
              <w:t xml:space="preserve"> </w:t>
            </w:r>
          </w:p>
        </w:tc>
      </w:tr>
      <w:tr w:rsidR="00F05C73" w14:paraId="2B96DC9F" w14:textId="77777777">
        <w:trPr>
          <w:trHeight w:val="350"/>
        </w:trPr>
        <w:tc>
          <w:tcPr>
            <w:tcW w:w="1524" w:type="dxa"/>
            <w:tcBorders>
              <w:top w:val="single" w:sz="4" w:space="0" w:color="000000"/>
              <w:left w:val="single" w:sz="4" w:space="0" w:color="000000"/>
              <w:bottom w:val="single" w:sz="4" w:space="0" w:color="000000"/>
              <w:right w:val="single" w:sz="4" w:space="0" w:color="000000"/>
            </w:tcBorders>
            <w:shd w:val="clear" w:color="auto" w:fill="F2F2F2"/>
          </w:tcPr>
          <w:p w14:paraId="77D56D73" w14:textId="77777777" w:rsidR="00F05C73" w:rsidRDefault="00F74ED1">
            <w:pPr>
              <w:spacing w:line="259" w:lineRule="auto"/>
            </w:pPr>
            <w:r>
              <w:rPr>
                <w:rFonts w:ascii="Calibri" w:eastAsia="Calibri" w:hAnsi="Calibri" w:cs="Calibri"/>
                <w:b/>
              </w:rPr>
              <w:t xml:space="preserve">Print name </w:t>
            </w:r>
          </w:p>
        </w:tc>
        <w:tc>
          <w:tcPr>
            <w:tcW w:w="3096" w:type="dxa"/>
            <w:tcBorders>
              <w:top w:val="single" w:sz="4" w:space="0" w:color="000000"/>
              <w:left w:val="single" w:sz="4" w:space="0" w:color="000000"/>
              <w:bottom w:val="single" w:sz="4" w:space="0" w:color="000000"/>
              <w:right w:val="single" w:sz="4" w:space="0" w:color="000000"/>
            </w:tcBorders>
          </w:tcPr>
          <w:p w14:paraId="51D4DF65" w14:textId="77777777" w:rsidR="00F05C73" w:rsidRDefault="00F74ED1">
            <w:pPr>
              <w:spacing w:line="259" w:lineRule="auto"/>
              <w:ind w:left="2"/>
            </w:pPr>
            <w:r>
              <w:t xml:space="preserve"> </w:t>
            </w:r>
          </w:p>
        </w:tc>
        <w:tc>
          <w:tcPr>
            <w:tcW w:w="1441" w:type="dxa"/>
            <w:tcBorders>
              <w:top w:val="single" w:sz="4" w:space="0" w:color="000000"/>
              <w:left w:val="single" w:sz="4" w:space="0" w:color="000000"/>
              <w:bottom w:val="single" w:sz="4" w:space="0" w:color="000000"/>
              <w:right w:val="single" w:sz="4" w:space="0" w:color="000000"/>
            </w:tcBorders>
            <w:shd w:val="clear" w:color="auto" w:fill="F2F2F2"/>
          </w:tcPr>
          <w:p w14:paraId="6E8B0107" w14:textId="77777777" w:rsidR="00F05C73" w:rsidRDefault="00F74ED1">
            <w:pPr>
              <w:spacing w:line="259" w:lineRule="auto"/>
            </w:pPr>
            <w:r>
              <w:rPr>
                <w:rFonts w:ascii="Calibri" w:eastAsia="Calibri" w:hAnsi="Calibri" w:cs="Calibri"/>
                <w:b/>
              </w:rPr>
              <w:t xml:space="preserve">Print name </w:t>
            </w:r>
          </w:p>
        </w:tc>
        <w:tc>
          <w:tcPr>
            <w:tcW w:w="3181" w:type="dxa"/>
            <w:tcBorders>
              <w:top w:val="single" w:sz="4" w:space="0" w:color="000000"/>
              <w:left w:val="single" w:sz="4" w:space="0" w:color="000000"/>
              <w:bottom w:val="single" w:sz="4" w:space="0" w:color="000000"/>
              <w:right w:val="single" w:sz="4" w:space="0" w:color="000000"/>
            </w:tcBorders>
          </w:tcPr>
          <w:p w14:paraId="65B3537D" w14:textId="77777777" w:rsidR="00F05C73" w:rsidRDefault="00F74ED1">
            <w:pPr>
              <w:spacing w:line="259" w:lineRule="auto"/>
              <w:ind w:left="2"/>
            </w:pPr>
            <w:r>
              <w:t xml:space="preserve"> </w:t>
            </w:r>
          </w:p>
        </w:tc>
      </w:tr>
      <w:tr w:rsidR="00F05C73" w14:paraId="4A3823D6" w14:textId="77777777">
        <w:trPr>
          <w:trHeight w:val="386"/>
        </w:trPr>
        <w:tc>
          <w:tcPr>
            <w:tcW w:w="1524" w:type="dxa"/>
            <w:tcBorders>
              <w:top w:val="single" w:sz="4" w:space="0" w:color="000000"/>
              <w:left w:val="single" w:sz="4" w:space="0" w:color="000000"/>
              <w:bottom w:val="single" w:sz="4" w:space="0" w:color="000000"/>
              <w:right w:val="single" w:sz="4" w:space="0" w:color="000000"/>
            </w:tcBorders>
            <w:shd w:val="clear" w:color="auto" w:fill="F2F2F2"/>
          </w:tcPr>
          <w:p w14:paraId="559A7D0D" w14:textId="77777777" w:rsidR="00F05C73" w:rsidRDefault="00F74ED1">
            <w:pPr>
              <w:spacing w:line="259" w:lineRule="auto"/>
            </w:pPr>
            <w:r>
              <w:rPr>
                <w:rFonts w:ascii="Calibri" w:eastAsia="Calibri" w:hAnsi="Calibri" w:cs="Calibri"/>
                <w:b/>
              </w:rPr>
              <w:t xml:space="preserve">Date </w:t>
            </w:r>
          </w:p>
        </w:tc>
        <w:tc>
          <w:tcPr>
            <w:tcW w:w="3096" w:type="dxa"/>
            <w:tcBorders>
              <w:top w:val="single" w:sz="4" w:space="0" w:color="000000"/>
              <w:left w:val="single" w:sz="4" w:space="0" w:color="000000"/>
              <w:bottom w:val="single" w:sz="4" w:space="0" w:color="000000"/>
              <w:right w:val="single" w:sz="4" w:space="0" w:color="000000"/>
            </w:tcBorders>
          </w:tcPr>
          <w:p w14:paraId="22BC4BE4" w14:textId="77777777" w:rsidR="00F05C73" w:rsidRDefault="00F74ED1">
            <w:pPr>
              <w:spacing w:line="259" w:lineRule="auto"/>
              <w:ind w:left="2"/>
            </w:pPr>
            <w:r>
              <w:t xml:space="preserve"> </w:t>
            </w:r>
          </w:p>
        </w:tc>
        <w:tc>
          <w:tcPr>
            <w:tcW w:w="1441" w:type="dxa"/>
            <w:tcBorders>
              <w:top w:val="single" w:sz="4" w:space="0" w:color="000000"/>
              <w:left w:val="single" w:sz="4" w:space="0" w:color="000000"/>
              <w:bottom w:val="single" w:sz="4" w:space="0" w:color="000000"/>
              <w:right w:val="single" w:sz="4" w:space="0" w:color="000000"/>
            </w:tcBorders>
            <w:shd w:val="clear" w:color="auto" w:fill="F2F2F2"/>
          </w:tcPr>
          <w:p w14:paraId="2CB84072" w14:textId="77777777" w:rsidR="00F05C73" w:rsidRDefault="00F74ED1">
            <w:pPr>
              <w:spacing w:line="259" w:lineRule="auto"/>
            </w:pPr>
            <w:r>
              <w:rPr>
                <w:rFonts w:ascii="Calibri" w:eastAsia="Calibri" w:hAnsi="Calibri" w:cs="Calibri"/>
                <w:b/>
              </w:rPr>
              <w:t xml:space="preserve">Date </w:t>
            </w:r>
          </w:p>
        </w:tc>
        <w:tc>
          <w:tcPr>
            <w:tcW w:w="3181" w:type="dxa"/>
            <w:tcBorders>
              <w:top w:val="single" w:sz="4" w:space="0" w:color="000000"/>
              <w:left w:val="single" w:sz="4" w:space="0" w:color="000000"/>
              <w:bottom w:val="single" w:sz="4" w:space="0" w:color="000000"/>
              <w:right w:val="single" w:sz="4" w:space="0" w:color="000000"/>
            </w:tcBorders>
          </w:tcPr>
          <w:p w14:paraId="338D2E5B" w14:textId="77777777" w:rsidR="00F05C73" w:rsidRDefault="00F74ED1">
            <w:pPr>
              <w:spacing w:line="259" w:lineRule="auto"/>
              <w:ind w:left="2"/>
            </w:pPr>
            <w:r>
              <w:t xml:space="preserve"> </w:t>
            </w:r>
          </w:p>
        </w:tc>
      </w:tr>
      <w:tr w:rsidR="00F05C73" w14:paraId="00274D62" w14:textId="77777777">
        <w:trPr>
          <w:trHeight w:val="362"/>
        </w:trPr>
        <w:tc>
          <w:tcPr>
            <w:tcW w:w="4620" w:type="dxa"/>
            <w:gridSpan w:val="2"/>
            <w:vMerge w:val="restart"/>
            <w:tcBorders>
              <w:top w:val="single" w:sz="4" w:space="0" w:color="000000"/>
              <w:left w:val="nil"/>
              <w:bottom w:val="nil"/>
              <w:right w:val="single" w:sz="4" w:space="0" w:color="000000"/>
            </w:tcBorders>
          </w:tcPr>
          <w:p w14:paraId="66C3AD38" w14:textId="77777777" w:rsidR="00F05C73" w:rsidRDefault="00F74ED1">
            <w:pPr>
              <w:spacing w:after="1886" w:line="259" w:lineRule="auto"/>
            </w:pPr>
            <w:r>
              <w:t xml:space="preserve"> </w:t>
            </w:r>
          </w:p>
          <w:p w14:paraId="7BD92D6F" w14:textId="77777777" w:rsidR="00F05C73" w:rsidRDefault="00F74ED1">
            <w:pPr>
              <w:spacing w:line="259" w:lineRule="auto"/>
            </w:pPr>
            <w:r>
              <w:t xml:space="preserve"> </w:t>
            </w:r>
          </w:p>
        </w:tc>
        <w:tc>
          <w:tcPr>
            <w:tcW w:w="4621" w:type="dxa"/>
            <w:gridSpan w:val="2"/>
            <w:tcBorders>
              <w:top w:val="single" w:sz="4" w:space="0" w:color="000000"/>
              <w:left w:val="single" w:sz="4" w:space="0" w:color="000000"/>
              <w:bottom w:val="single" w:sz="23" w:space="0" w:color="FFFFFF"/>
              <w:right w:val="single" w:sz="4" w:space="0" w:color="000000"/>
            </w:tcBorders>
            <w:shd w:val="clear" w:color="auto" w:fill="F2F2F2"/>
          </w:tcPr>
          <w:p w14:paraId="55B0F156" w14:textId="5046E3E0" w:rsidR="00F05C73" w:rsidRDefault="00F74ED1">
            <w:pPr>
              <w:spacing w:line="259" w:lineRule="auto"/>
            </w:pPr>
            <w:r>
              <w:rPr>
                <w:rFonts w:ascii="Calibri" w:eastAsia="Calibri" w:hAnsi="Calibri" w:cs="Calibri"/>
                <w:b/>
              </w:rPr>
              <w:t xml:space="preserve">Signed by the </w:t>
            </w:r>
            <w:r w:rsidR="007914E9">
              <w:rPr>
                <w:rFonts w:ascii="Calibri" w:eastAsia="Calibri" w:hAnsi="Calibri" w:cs="Calibri"/>
                <w:b/>
              </w:rPr>
              <w:t>Lead Applicant</w:t>
            </w:r>
            <w:r>
              <w:t xml:space="preserve"> </w:t>
            </w:r>
          </w:p>
        </w:tc>
      </w:tr>
      <w:tr w:rsidR="00F05C73" w14:paraId="4A7CB2D5" w14:textId="77777777">
        <w:trPr>
          <w:trHeight w:val="1432"/>
        </w:trPr>
        <w:tc>
          <w:tcPr>
            <w:tcW w:w="0" w:type="auto"/>
            <w:gridSpan w:val="2"/>
            <w:vMerge/>
            <w:tcBorders>
              <w:top w:val="nil"/>
              <w:left w:val="nil"/>
              <w:bottom w:val="nil"/>
              <w:right w:val="single" w:sz="4" w:space="0" w:color="000000"/>
            </w:tcBorders>
          </w:tcPr>
          <w:p w14:paraId="7ED0539B" w14:textId="77777777" w:rsidR="00F05C73" w:rsidRDefault="00F05C73">
            <w:pPr>
              <w:spacing w:after="160" w:line="259" w:lineRule="auto"/>
            </w:pPr>
          </w:p>
        </w:tc>
        <w:tc>
          <w:tcPr>
            <w:tcW w:w="4621" w:type="dxa"/>
            <w:gridSpan w:val="2"/>
            <w:tcBorders>
              <w:top w:val="single" w:sz="23" w:space="0" w:color="FFFFFF"/>
              <w:left w:val="single" w:sz="4" w:space="0" w:color="000000"/>
              <w:bottom w:val="single" w:sz="6" w:space="0" w:color="000000"/>
              <w:right w:val="single" w:sz="4" w:space="0" w:color="000000"/>
            </w:tcBorders>
          </w:tcPr>
          <w:p w14:paraId="19246B8E" w14:textId="77777777" w:rsidR="00F05C73" w:rsidRDefault="00F74ED1">
            <w:pPr>
              <w:spacing w:line="259" w:lineRule="auto"/>
            </w:pPr>
            <w:r>
              <w:t xml:space="preserve"> </w:t>
            </w:r>
          </w:p>
          <w:p w14:paraId="253EED65" w14:textId="77777777" w:rsidR="00F05C73" w:rsidRDefault="00F74ED1">
            <w:pPr>
              <w:spacing w:line="259" w:lineRule="auto"/>
            </w:pPr>
            <w:r>
              <w:t xml:space="preserve"> </w:t>
            </w:r>
          </w:p>
          <w:p w14:paraId="7A26081D" w14:textId="77777777" w:rsidR="00F05C73" w:rsidRDefault="00F74ED1">
            <w:pPr>
              <w:spacing w:line="259" w:lineRule="auto"/>
            </w:pPr>
            <w:r>
              <w:t xml:space="preserve"> </w:t>
            </w:r>
          </w:p>
          <w:p w14:paraId="20124B3B" w14:textId="77777777" w:rsidR="00F05C73" w:rsidRDefault="00F74ED1">
            <w:pPr>
              <w:spacing w:line="259" w:lineRule="auto"/>
            </w:pPr>
            <w:r>
              <w:t xml:space="preserve"> </w:t>
            </w:r>
          </w:p>
          <w:p w14:paraId="78DCD24C" w14:textId="77777777" w:rsidR="00F05C73" w:rsidRDefault="00F74ED1">
            <w:pPr>
              <w:spacing w:line="259" w:lineRule="auto"/>
            </w:pPr>
            <w:r>
              <w:t xml:space="preserve"> </w:t>
            </w:r>
          </w:p>
        </w:tc>
      </w:tr>
      <w:tr w:rsidR="00F05C73" w14:paraId="7EBDE3B6" w14:textId="77777777">
        <w:trPr>
          <w:trHeight w:val="357"/>
        </w:trPr>
        <w:tc>
          <w:tcPr>
            <w:tcW w:w="0" w:type="auto"/>
            <w:gridSpan w:val="2"/>
            <w:vMerge/>
            <w:tcBorders>
              <w:top w:val="nil"/>
              <w:left w:val="nil"/>
              <w:bottom w:val="nil"/>
              <w:right w:val="single" w:sz="4" w:space="0" w:color="000000"/>
            </w:tcBorders>
          </w:tcPr>
          <w:p w14:paraId="2CE56DB9" w14:textId="77777777" w:rsidR="00F05C73" w:rsidRDefault="00F05C73">
            <w:pPr>
              <w:spacing w:after="160" w:line="259" w:lineRule="auto"/>
            </w:pPr>
          </w:p>
        </w:tc>
        <w:tc>
          <w:tcPr>
            <w:tcW w:w="1441" w:type="dxa"/>
            <w:tcBorders>
              <w:top w:val="single" w:sz="6" w:space="0" w:color="000000"/>
              <w:left w:val="single" w:sz="4" w:space="0" w:color="000000"/>
              <w:bottom w:val="single" w:sz="6" w:space="0" w:color="000000"/>
              <w:right w:val="single" w:sz="4" w:space="0" w:color="000000"/>
            </w:tcBorders>
            <w:shd w:val="clear" w:color="auto" w:fill="F2F2F2"/>
          </w:tcPr>
          <w:p w14:paraId="78AF0B99" w14:textId="77777777" w:rsidR="00F05C73" w:rsidRDefault="00F74ED1">
            <w:pPr>
              <w:spacing w:line="259" w:lineRule="auto"/>
            </w:pPr>
            <w:r>
              <w:rPr>
                <w:rFonts w:ascii="Calibri" w:eastAsia="Calibri" w:hAnsi="Calibri" w:cs="Calibri"/>
                <w:b/>
              </w:rPr>
              <w:t xml:space="preserve">Print name </w:t>
            </w:r>
          </w:p>
        </w:tc>
        <w:tc>
          <w:tcPr>
            <w:tcW w:w="3181" w:type="dxa"/>
            <w:tcBorders>
              <w:top w:val="single" w:sz="6" w:space="0" w:color="000000"/>
              <w:left w:val="single" w:sz="4" w:space="0" w:color="000000"/>
              <w:bottom w:val="single" w:sz="6" w:space="0" w:color="000000"/>
              <w:right w:val="single" w:sz="4" w:space="0" w:color="000000"/>
            </w:tcBorders>
          </w:tcPr>
          <w:p w14:paraId="6E5CF207" w14:textId="77777777" w:rsidR="00F05C73" w:rsidRDefault="00F74ED1">
            <w:pPr>
              <w:spacing w:line="259" w:lineRule="auto"/>
              <w:ind w:left="2"/>
            </w:pPr>
            <w:r>
              <w:t xml:space="preserve"> </w:t>
            </w:r>
          </w:p>
        </w:tc>
      </w:tr>
      <w:tr w:rsidR="00F05C73" w14:paraId="050EA402" w14:textId="77777777">
        <w:trPr>
          <w:trHeight w:val="364"/>
        </w:trPr>
        <w:tc>
          <w:tcPr>
            <w:tcW w:w="0" w:type="auto"/>
            <w:gridSpan w:val="2"/>
            <w:vMerge/>
            <w:tcBorders>
              <w:top w:val="nil"/>
              <w:left w:val="nil"/>
              <w:bottom w:val="nil"/>
              <w:right w:val="single" w:sz="4" w:space="0" w:color="000000"/>
            </w:tcBorders>
          </w:tcPr>
          <w:p w14:paraId="55D5AFFB" w14:textId="77777777" w:rsidR="00F05C73" w:rsidRDefault="00F05C73">
            <w:pPr>
              <w:spacing w:after="160" w:line="259" w:lineRule="auto"/>
            </w:pPr>
          </w:p>
        </w:tc>
        <w:tc>
          <w:tcPr>
            <w:tcW w:w="1441" w:type="dxa"/>
            <w:tcBorders>
              <w:top w:val="single" w:sz="6" w:space="0" w:color="000000"/>
              <w:left w:val="single" w:sz="4" w:space="0" w:color="000000"/>
              <w:bottom w:val="single" w:sz="4" w:space="0" w:color="000000"/>
              <w:right w:val="single" w:sz="4" w:space="0" w:color="000000"/>
            </w:tcBorders>
            <w:shd w:val="clear" w:color="auto" w:fill="F2F2F2"/>
          </w:tcPr>
          <w:p w14:paraId="01CD1B8F" w14:textId="77777777" w:rsidR="00F05C73" w:rsidRDefault="00F74ED1">
            <w:pPr>
              <w:spacing w:line="259" w:lineRule="auto"/>
            </w:pPr>
            <w:r>
              <w:rPr>
                <w:rFonts w:ascii="Calibri" w:eastAsia="Calibri" w:hAnsi="Calibri" w:cs="Calibri"/>
                <w:b/>
              </w:rPr>
              <w:t xml:space="preserve">Date </w:t>
            </w:r>
          </w:p>
        </w:tc>
        <w:tc>
          <w:tcPr>
            <w:tcW w:w="3181" w:type="dxa"/>
            <w:tcBorders>
              <w:top w:val="single" w:sz="6" w:space="0" w:color="000000"/>
              <w:left w:val="single" w:sz="4" w:space="0" w:color="000000"/>
              <w:bottom w:val="single" w:sz="4" w:space="0" w:color="000000"/>
              <w:right w:val="single" w:sz="4" w:space="0" w:color="000000"/>
            </w:tcBorders>
          </w:tcPr>
          <w:p w14:paraId="34A6FB97" w14:textId="77777777" w:rsidR="00F05C73" w:rsidRDefault="00F74ED1">
            <w:pPr>
              <w:spacing w:line="259" w:lineRule="auto"/>
              <w:ind w:left="2"/>
            </w:pPr>
            <w:r>
              <w:t xml:space="preserve"> </w:t>
            </w:r>
          </w:p>
        </w:tc>
      </w:tr>
    </w:tbl>
    <w:p w14:paraId="1DB6842C" w14:textId="77777777" w:rsidR="00F05C73" w:rsidRDefault="00F74ED1">
      <w:r>
        <w:rPr>
          <w:rFonts w:ascii="Calibri" w:eastAsia="Calibri" w:hAnsi="Calibri" w:cs="Calibri"/>
          <w:b/>
        </w:rPr>
        <w:t xml:space="preserve"> </w:t>
      </w:r>
    </w:p>
    <w:p w14:paraId="7DF93C3C" w14:textId="77777777" w:rsidR="00F05C73" w:rsidRDefault="00F74ED1">
      <w:pPr>
        <w:spacing w:after="0"/>
      </w:pPr>
      <w:r>
        <w:t xml:space="preserve"> </w:t>
      </w:r>
    </w:p>
    <w:p w14:paraId="2850F4F2" w14:textId="77777777" w:rsidR="00F74ED1" w:rsidRDefault="00F74ED1">
      <w:pPr>
        <w:rPr>
          <w:rFonts w:asciiTheme="majorHAnsi" w:eastAsia="Calibri" w:hAnsiTheme="majorHAnsi" w:cstheme="majorBidi"/>
          <w:color w:val="262626" w:themeColor="text1" w:themeTint="D9"/>
          <w:sz w:val="28"/>
          <w:szCs w:val="28"/>
          <w:u w:color="000000"/>
        </w:rPr>
      </w:pPr>
      <w:r>
        <w:rPr>
          <w:rFonts w:eastAsia="Calibri"/>
          <w:u w:color="000000"/>
        </w:rPr>
        <w:br w:type="page"/>
      </w:r>
    </w:p>
    <w:p w14:paraId="5D88C919" w14:textId="224E138E" w:rsidR="00F05C73" w:rsidRDefault="00F74ED1" w:rsidP="000D70D9">
      <w:pPr>
        <w:pStyle w:val="Heading2"/>
      </w:pPr>
      <w:r>
        <w:rPr>
          <w:rFonts w:eastAsia="Calibri"/>
          <w:u w:color="000000"/>
        </w:rPr>
        <w:lastRenderedPageBreak/>
        <w:t>GENERAL TERMS AND CONDITIONS</w:t>
      </w:r>
      <w:r>
        <w:rPr>
          <w:rFonts w:eastAsia="Calibri"/>
        </w:rPr>
        <w:t xml:space="preserve"> </w:t>
      </w:r>
    </w:p>
    <w:p w14:paraId="6397B54C" w14:textId="77777777" w:rsidR="00F05C73" w:rsidRDefault="00F74ED1">
      <w:pPr>
        <w:spacing w:after="145"/>
        <w:ind w:left="41"/>
        <w:jc w:val="center"/>
      </w:pPr>
      <w:r>
        <w:rPr>
          <w:rFonts w:ascii="Calibri" w:eastAsia="Calibri" w:hAnsi="Calibri" w:cs="Calibri"/>
          <w:b/>
        </w:rPr>
        <w:t xml:space="preserve"> </w:t>
      </w:r>
    </w:p>
    <w:p w14:paraId="4E13100E" w14:textId="5B92E2A5" w:rsidR="00F05C73" w:rsidRDefault="00F74ED1">
      <w:pPr>
        <w:spacing w:after="155"/>
      </w:pPr>
      <w:r>
        <w:t xml:space="preserve">These General Terms and Conditions form part of the Data Access Agreement between </w:t>
      </w:r>
      <w:r w:rsidR="007914E9">
        <w:t>BTHFT</w:t>
      </w:r>
      <w:r>
        <w:t xml:space="preserve"> and the </w:t>
      </w:r>
      <w:r w:rsidR="00A46068">
        <w:rPr>
          <w:rFonts w:ascii="Calibri" w:eastAsia="Calibri" w:hAnsi="Calibri" w:cs="Calibri"/>
        </w:rPr>
        <w:t>Receiving Organisation</w:t>
      </w:r>
      <w:r>
        <w:rPr>
          <w:rFonts w:ascii="Calibri" w:eastAsia="Calibri" w:hAnsi="Calibri" w:cs="Calibri"/>
        </w:rPr>
        <w:t xml:space="preserve"> (the “</w:t>
      </w:r>
      <w:r>
        <w:rPr>
          <w:rFonts w:ascii="Calibri" w:eastAsia="Calibri" w:hAnsi="Calibri" w:cs="Calibri"/>
          <w:b/>
        </w:rPr>
        <w:t>agreement</w:t>
      </w:r>
      <w:r>
        <w:rPr>
          <w:rFonts w:ascii="Calibri" w:eastAsia="Calibri" w:hAnsi="Calibri" w:cs="Calibri"/>
        </w:rPr>
        <w:t xml:space="preserve">”). They shall be read in conjunction with and shall incorporate the </w:t>
      </w:r>
      <w:r>
        <w:t xml:space="preserve">information set out in the front sheet to this document including but not limited to any Special Conditions </w:t>
      </w:r>
      <w:r>
        <w:rPr>
          <w:rFonts w:ascii="Calibri" w:eastAsia="Calibri" w:hAnsi="Calibri" w:cs="Calibri"/>
        </w:rPr>
        <w:t>(the “</w:t>
      </w:r>
      <w:r>
        <w:rPr>
          <w:rFonts w:ascii="Calibri" w:eastAsia="Calibri" w:hAnsi="Calibri" w:cs="Calibri"/>
          <w:b/>
        </w:rPr>
        <w:t>Front Sheet</w:t>
      </w:r>
      <w:r>
        <w:rPr>
          <w:rFonts w:ascii="Calibri" w:eastAsia="Calibri" w:hAnsi="Calibri" w:cs="Calibri"/>
        </w:rPr>
        <w:t>”)</w:t>
      </w:r>
      <w:r>
        <w:t xml:space="preserve">.   </w:t>
      </w:r>
    </w:p>
    <w:p w14:paraId="4C5BD50F" w14:textId="77777777" w:rsidR="00F05C73" w:rsidRDefault="00F74ED1">
      <w:pPr>
        <w:spacing w:after="149"/>
      </w:pPr>
      <w:r>
        <w:t xml:space="preserve">The following terms shall have the meaning shown against them where they are used in the agreement: </w:t>
      </w:r>
    </w:p>
    <w:p w14:paraId="7A097078" w14:textId="77777777" w:rsidR="00F05C73" w:rsidRDefault="00F74ED1">
      <w:pPr>
        <w:spacing w:after="0"/>
      </w:pPr>
      <w:r>
        <w:rPr>
          <w:rFonts w:ascii="Calibri" w:eastAsia="Calibri" w:hAnsi="Calibri" w:cs="Calibri"/>
          <w:b/>
        </w:rPr>
        <w:t xml:space="preserve"> </w:t>
      </w:r>
    </w:p>
    <w:tbl>
      <w:tblPr>
        <w:tblStyle w:val="TableGrid"/>
        <w:tblW w:w="9258" w:type="dxa"/>
        <w:tblInd w:w="108" w:type="dxa"/>
        <w:tblLayout w:type="fixed"/>
        <w:tblLook w:val="04A0" w:firstRow="1" w:lastRow="0" w:firstColumn="1" w:lastColumn="0" w:noHBand="0" w:noVBand="1"/>
      </w:tblPr>
      <w:tblGrid>
        <w:gridCol w:w="2727"/>
        <w:gridCol w:w="6531"/>
      </w:tblGrid>
      <w:tr w:rsidR="00F05C73" w14:paraId="7A7D1FA9" w14:textId="77777777" w:rsidTr="00974907">
        <w:trPr>
          <w:trHeight w:val="712"/>
        </w:trPr>
        <w:tc>
          <w:tcPr>
            <w:tcW w:w="2727" w:type="dxa"/>
            <w:tcBorders>
              <w:top w:val="nil"/>
              <w:left w:val="nil"/>
              <w:bottom w:val="nil"/>
              <w:right w:val="nil"/>
            </w:tcBorders>
          </w:tcPr>
          <w:p w14:paraId="572CAB7F" w14:textId="77777777" w:rsidR="00F05C73" w:rsidRDefault="00F74ED1">
            <w:pPr>
              <w:spacing w:line="259" w:lineRule="auto"/>
            </w:pPr>
            <w:r>
              <w:rPr>
                <w:rFonts w:ascii="Calibri" w:eastAsia="Calibri" w:hAnsi="Calibri" w:cs="Calibri"/>
                <w:b/>
              </w:rPr>
              <w:t>Effective Date</w:t>
            </w:r>
            <w:r>
              <w:t xml:space="preserve"> </w:t>
            </w:r>
          </w:p>
        </w:tc>
        <w:tc>
          <w:tcPr>
            <w:tcW w:w="6531" w:type="dxa"/>
            <w:tcBorders>
              <w:top w:val="nil"/>
              <w:left w:val="nil"/>
              <w:bottom w:val="nil"/>
              <w:right w:val="nil"/>
            </w:tcBorders>
          </w:tcPr>
          <w:p w14:paraId="67BC035F" w14:textId="77777777" w:rsidR="00F05C73" w:rsidRDefault="00F74ED1">
            <w:pPr>
              <w:spacing w:line="242" w:lineRule="auto"/>
            </w:pPr>
            <w:r>
              <w:t xml:space="preserve">The date on which the agreement shall come into force as set out in the Front Sheet (under Access Period) </w:t>
            </w:r>
          </w:p>
          <w:p w14:paraId="32DA445B" w14:textId="77777777" w:rsidR="00F05C73" w:rsidRDefault="00F74ED1">
            <w:pPr>
              <w:spacing w:line="259" w:lineRule="auto"/>
            </w:pPr>
            <w:r>
              <w:t xml:space="preserve"> </w:t>
            </w:r>
          </w:p>
        </w:tc>
      </w:tr>
      <w:tr w:rsidR="00F05C73" w14:paraId="0E881FBA" w14:textId="77777777" w:rsidTr="00974907">
        <w:trPr>
          <w:trHeight w:val="1466"/>
        </w:trPr>
        <w:tc>
          <w:tcPr>
            <w:tcW w:w="2727" w:type="dxa"/>
            <w:tcBorders>
              <w:top w:val="nil"/>
              <w:left w:val="nil"/>
              <w:bottom w:val="nil"/>
              <w:right w:val="nil"/>
            </w:tcBorders>
          </w:tcPr>
          <w:p w14:paraId="2D3496F9" w14:textId="77777777" w:rsidR="00F05C73" w:rsidRDefault="00F74ED1">
            <w:pPr>
              <w:spacing w:line="259" w:lineRule="auto"/>
            </w:pPr>
            <w:r>
              <w:rPr>
                <w:rFonts w:ascii="Calibri" w:eastAsia="Calibri" w:hAnsi="Calibri" w:cs="Calibri"/>
                <w:b/>
              </w:rPr>
              <w:t xml:space="preserve">Licensed Datasets </w:t>
            </w:r>
          </w:p>
          <w:p w14:paraId="55909C9B" w14:textId="77777777" w:rsidR="00F05C73" w:rsidRDefault="00F74ED1">
            <w:pPr>
              <w:spacing w:line="259" w:lineRule="auto"/>
            </w:pPr>
            <w:r>
              <w:rPr>
                <w:rFonts w:ascii="Calibri" w:eastAsia="Calibri" w:hAnsi="Calibri" w:cs="Calibri"/>
                <w:b/>
              </w:rPr>
              <w:t xml:space="preserve"> </w:t>
            </w:r>
          </w:p>
          <w:p w14:paraId="27D4D175" w14:textId="77777777" w:rsidR="00F05C73" w:rsidRDefault="00F74ED1">
            <w:pPr>
              <w:spacing w:line="259" w:lineRule="auto"/>
            </w:pPr>
            <w:r>
              <w:rPr>
                <w:rFonts w:ascii="Calibri" w:eastAsia="Calibri" w:hAnsi="Calibri" w:cs="Calibri"/>
                <w:b/>
              </w:rPr>
              <w:t xml:space="preserve"> </w:t>
            </w:r>
          </w:p>
          <w:p w14:paraId="2A74459B" w14:textId="77777777" w:rsidR="00F05C73" w:rsidRDefault="00F74ED1">
            <w:pPr>
              <w:spacing w:line="259" w:lineRule="auto"/>
            </w:pPr>
            <w:r>
              <w:rPr>
                <w:rFonts w:ascii="Calibri" w:eastAsia="Calibri" w:hAnsi="Calibri" w:cs="Calibri"/>
                <w:b/>
              </w:rPr>
              <w:t xml:space="preserve"> </w:t>
            </w:r>
          </w:p>
          <w:p w14:paraId="499F0574" w14:textId="77777777" w:rsidR="00F05C73" w:rsidRDefault="00F74ED1">
            <w:pPr>
              <w:spacing w:line="259" w:lineRule="auto"/>
            </w:pPr>
            <w:r>
              <w:t xml:space="preserve"> </w:t>
            </w:r>
          </w:p>
        </w:tc>
        <w:tc>
          <w:tcPr>
            <w:tcW w:w="6531" w:type="dxa"/>
            <w:tcBorders>
              <w:top w:val="nil"/>
              <w:left w:val="nil"/>
              <w:bottom w:val="nil"/>
              <w:right w:val="nil"/>
            </w:tcBorders>
          </w:tcPr>
          <w:p w14:paraId="74A10B2E" w14:textId="446AD7E2" w:rsidR="00F05C73" w:rsidRDefault="00F74ED1">
            <w:pPr>
              <w:spacing w:line="241" w:lineRule="auto"/>
              <w:ind w:right="47"/>
            </w:pPr>
            <w:r>
              <w:t xml:space="preserve">The controlled dataset(s) summarised in the Front Sheet and defined in Schedule 3 for which access is to be granted as may be updated from time to time by agreement between </w:t>
            </w:r>
            <w:r w:rsidR="007914E9">
              <w:t>BTHFT</w:t>
            </w:r>
            <w:r>
              <w:t xml:space="preserve"> and the Lead Applicant or which may be varied by </w:t>
            </w:r>
            <w:r w:rsidR="007914E9">
              <w:t>BTHFT</w:t>
            </w:r>
            <w:r>
              <w:t xml:space="preserve"> from time to time on notice in writing to the </w:t>
            </w:r>
            <w:r w:rsidR="00A46068">
              <w:t>Receiving Organisation</w:t>
            </w:r>
            <w:r>
              <w:t xml:space="preserve">. </w:t>
            </w:r>
          </w:p>
          <w:p w14:paraId="6136CDF5" w14:textId="77777777" w:rsidR="00F05C73" w:rsidRDefault="00F74ED1">
            <w:pPr>
              <w:spacing w:line="259" w:lineRule="auto"/>
            </w:pPr>
            <w:r>
              <w:t xml:space="preserve"> </w:t>
            </w:r>
          </w:p>
        </w:tc>
      </w:tr>
      <w:tr w:rsidR="00F05C73" w14:paraId="37F5523C" w14:textId="77777777" w:rsidTr="00974907">
        <w:trPr>
          <w:trHeight w:val="488"/>
        </w:trPr>
        <w:tc>
          <w:tcPr>
            <w:tcW w:w="2727" w:type="dxa"/>
            <w:tcBorders>
              <w:top w:val="nil"/>
              <w:left w:val="nil"/>
              <w:bottom w:val="nil"/>
              <w:right w:val="nil"/>
            </w:tcBorders>
          </w:tcPr>
          <w:p w14:paraId="55FC02A7" w14:textId="77777777" w:rsidR="00F05C73" w:rsidRDefault="00F74ED1">
            <w:pPr>
              <w:spacing w:line="259" w:lineRule="auto"/>
            </w:pPr>
            <w:r>
              <w:rPr>
                <w:rFonts w:ascii="Calibri" w:eastAsia="Calibri" w:hAnsi="Calibri" w:cs="Calibri"/>
                <w:b/>
              </w:rPr>
              <w:t>Authorised Research</w:t>
            </w:r>
            <w:r>
              <w:t xml:space="preserve"> </w:t>
            </w:r>
          </w:p>
        </w:tc>
        <w:tc>
          <w:tcPr>
            <w:tcW w:w="6531" w:type="dxa"/>
            <w:tcBorders>
              <w:top w:val="nil"/>
              <w:left w:val="nil"/>
              <w:bottom w:val="nil"/>
              <w:right w:val="nil"/>
            </w:tcBorders>
          </w:tcPr>
          <w:p w14:paraId="3FFEAB71" w14:textId="77777777" w:rsidR="00F05C73" w:rsidRDefault="00F74ED1">
            <w:pPr>
              <w:spacing w:line="259" w:lineRule="auto"/>
            </w:pPr>
            <w:r>
              <w:t xml:space="preserve">The research summarised in the Front Sheet and defined in Schedule 4. </w:t>
            </w:r>
          </w:p>
          <w:p w14:paraId="2803E1AC" w14:textId="0A8186AF" w:rsidR="00C003EF" w:rsidRDefault="00F74ED1">
            <w:pPr>
              <w:spacing w:line="259" w:lineRule="auto"/>
            </w:pPr>
            <w:r>
              <w:t xml:space="preserve"> </w:t>
            </w:r>
          </w:p>
        </w:tc>
      </w:tr>
      <w:tr w:rsidR="00F05C73" w14:paraId="76BC7E7D" w14:textId="77777777" w:rsidTr="00974907">
        <w:trPr>
          <w:trHeight w:val="732"/>
        </w:trPr>
        <w:tc>
          <w:tcPr>
            <w:tcW w:w="2727" w:type="dxa"/>
            <w:tcBorders>
              <w:top w:val="nil"/>
              <w:left w:val="nil"/>
              <w:bottom w:val="nil"/>
              <w:right w:val="nil"/>
            </w:tcBorders>
          </w:tcPr>
          <w:p w14:paraId="59609DF7" w14:textId="77777777" w:rsidR="00F05C73" w:rsidRDefault="00F74ED1">
            <w:pPr>
              <w:spacing w:line="259" w:lineRule="auto"/>
            </w:pPr>
            <w:r>
              <w:rPr>
                <w:rFonts w:ascii="Calibri" w:eastAsia="Calibri" w:hAnsi="Calibri" w:cs="Calibri"/>
                <w:b/>
              </w:rPr>
              <w:t xml:space="preserve">Collaborator(s)  </w:t>
            </w:r>
          </w:p>
          <w:p w14:paraId="6A98E239" w14:textId="77777777" w:rsidR="00F05C73" w:rsidRDefault="00F74ED1">
            <w:pPr>
              <w:spacing w:line="259" w:lineRule="auto"/>
            </w:pPr>
            <w:r>
              <w:rPr>
                <w:rFonts w:ascii="Calibri" w:eastAsia="Calibri" w:hAnsi="Calibri" w:cs="Calibri"/>
                <w:b/>
              </w:rPr>
              <w:t xml:space="preserve"> </w:t>
            </w:r>
          </w:p>
          <w:p w14:paraId="062B8837" w14:textId="77777777" w:rsidR="00F05C73" w:rsidRDefault="00F74ED1">
            <w:pPr>
              <w:spacing w:line="259" w:lineRule="auto"/>
            </w:pPr>
            <w:r>
              <w:rPr>
                <w:rFonts w:ascii="Calibri" w:eastAsia="Calibri" w:hAnsi="Calibri" w:cs="Calibri"/>
                <w:b/>
              </w:rPr>
              <w:t xml:space="preserve"> </w:t>
            </w:r>
          </w:p>
        </w:tc>
        <w:tc>
          <w:tcPr>
            <w:tcW w:w="6531" w:type="dxa"/>
            <w:tcBorders>
              <w:top w:val="nil"/>
              <w:left w:val="nil"/>
              <w:bottom w:val="nil"/>
              <w:right w:val="nil"/>
            </w:tcBorders>
          </w:tcPr>
          <w:p w14:paraId="4F1561D9" w14:textId="152A04D3" w:rsidR="00F05C73" w:rsidRDefault="00F74ED1">
            <w:pPr>
              <w:spacing w:after="2"/>
            </w:pPr>
            <w:r>
              <w:t xml:space="preserve">The co-applicants and the data users identified in the Front Sheet as updated from time to time by agreement with </w:t>
            </w:r>
            <w:r w:rsidR="007914E9">
              <w:t>BTHFT</w:t>
            </w:r>
            <w:r>
              <w:t xml:space="preserve">. </w:t>
            </w:r>
          </w:p>
          <w:p w14:paraId="0257A0B2" w14:textId="77777777" w:rsidR="00F05C73" w:rsidRDefault="00F74ED1">
            <w:pPr>
              <w:spacing w:line="259" w:lineRule="auto"/>
            </w:pPr>
            <w:r>
              <w:t xml:space="preserve"> </w:t>
            </w:r>
          </w:p>
        </w:tc>
      </w:tr>
      <w:tr w:rsidR="00F05C73" w14:paraId="792C4C4B" w14:textId="77777777" w:rsidTr="00974907">
        <w:trPr>
          <w:trHeight w:val="488"/>
        </w:trPr>
        <w:tc>
          <w:tcPr>
            <w:tcW w:w="2727" w:type="dxa"/>
            <w:tcBorders>
              <w:top w:val="nil"/>
              <w:left w:val="nil"/>
              <w:bottom w:val="nil"/>
              <w:right w:val="nil"/>
            </w:tcBorders>
          </w:tcPr>
          <w:p w14:paraId="384D7999" w14:textId="77777777" w:rsidR="00F05C73" w:rsidRDefault="00F74ED1">
            <w:pPr>
              <w:spacing w:line="259" w:lineRule="auto"/>
            </w:pPr>
            <w:r>
              <w:rPr>
                <w:rFonts w:ascii="Calibri" w:eastAsia="Calibri" w:hAnsi="Calibri" w:cs="Calibri"/>
                <w:b/>
              </w:rPr>
              <w:t xml:space="preserve">Collaborator Institute(s) </w:t>
            </w:r>
          </w:p>
        </w:tc>
        <w:tc>
          <w:tcPr>
            <w:tcW w:w="6531" w:type="dxa"/>
            <w:tcBorders>
              <w:top w:val="nil"/>
              <w:left w:val="nil"/>
              <w:bottom w:val="nil"/>
              <w:right w:val="nil"/>
            </w:tcBorders>
          </w:tcPr>
          <w:p w14:paraId="0F3EBAA0" w14:textId="6170FA0D" w:rsidR="00F05C73" w:rsidRDefault="00F74ED1">
            <w:pPr>
              <w:spacing w:line="259" w:lineRule="auto"/>
            </w:pPr>
            <w:r>
              <w:t>The organ</w:t>
            </w:r>
            <w:r w:rsidR="00974907">
              <w:t>i</w:t>
            </w:r>
            <w:r>
              <w:t xml:space="preserve">sation(s) referred to in the Front Sheet. </w:t>
            </w:r>
          </w:p>
          <w:p w14:paraId="748A5002" w14:textId="77777777" w:rsidR="00F05C73" w:rsidRDefault="00F74ED1">
            <w:pPr>
              <w:spacing w:line="259" w:lineRule="auto"/>
            </w:pPr>
            <w:r>
              <w:t xml:space="preserve"> </w:t>
            </w:r>
          </w:p>
        </w:tc>
      </w:tr>
      <w:tr w:rsidR="00F05C73" w14:paraId="343CDFB7" w14:textId="77777777" w:rsidTr="00974907">
        <w:trPr>
          <w:trHeight w:val="1221"/>
        </w:trPr>
        <w:tc>
          <w:tcPr>
            <w:tcW w:w="2727" w:type="dxa"/>
            <w:tcBorders>
              <w:top w:val="nil"/>
              <w:left w:val="nil"/>
              <w:bottom w:val="nil"/>
              <w:right w:val="nil"/>
            </w:tcBorders>
          </w:tcPr>
          <w:p w14:paraId="78AFE7AE" w14:textId="77777777" w:rsidR="00F05C73" w:rsidRDefault="00F74ED1">
            <w:pPr>
              <w:spacing w:line="259" w:lineRule="auto"/>
            </w:pPr>
            <w:r>
              <w:rPr>
                <w:rFonts w:ascii="Calibri" w:eastAsia="Calibri" w:hAnsi="Calibri" w:cs="Calibri"/>
                <w:b/>
              </w:rPr>
              <w:t xml:space="preserve">Applicable Law </w:t>
            </w:r>
          </w:p>
        </w:tc>
        <w:tc>
          <w:tcPr>
            <w:tcW w:w="6531" w:type="dxa"/>
            <w:tcBorders>
              <w:top w:val="nil"/>
              <w:left w:val="nil"/>
              <w:bottom w:val="nil"/>
              <w:right w:val="nil"/>
            </w:tcBorders>
          </w:tcPr>
          <w:p w14:paraId="0F57F3A0" w14:textId="710942AD" w:rsidR="00F05C73" w:rsidRDefault="00F74ED1">
            <w:pPr>
              <w:spacing w:after="1" w:line="241" w:lineRule="auto"/>
              <w:ind w:right="45"/>
            </w:pPr>
            <w:r>
              <w:t xml:space="preserve">All laws, regulations, orders, guidance, codes of practice, directions or determinations that are applicable to the obligations of the </w:t>
            </w:r>
            <w:r w:rsidR="00A46068">
              <w:t>Receiving Organisation</w:t>
            </w:r>
            <w:r>
              <w:t xml:space="preserve"> under this agreement including but not limited to the Data Protection Legislation and equivalent legislation applicable to the </w:t>
            </w:r>
            <w:r w:rsidR="00A46068">
              <w:t>Receiving Organisation</w:t>
            </w:r>
            <w:r>
              <w:t xml:space="preserve"> </w:t>
            </w:r>
          </w:p>
          <w:p w14:paraId="3C2A0CE1" w14:textId="77777777" w:rsidR="00F05C73" w:rsidRDefault="00F74ED1">
            <w:pPr>
              <w:spacing w:line="259" w:lineRule="auto"/>
            </w:pPr>
            <w:r>
              <w:t xml:space="preserve"> </w:t>
            </w:r>
          </w:p>
        </w:tc>
      </w:tr>
      <w:tr w:rsidR="00F05C73" w14:paraId="53CF89FA" w14:textId="77777777" w:rsidTr="00974907">
        <w:trPr>
          <w:trHeight w:val="2666"/>
        </w:trPr>
        <w:tc>
          <w:tcPr>
            <w:tcW w:w="2727" w:type="dxa"/>
            <w:tcBorders>
              <w:top w:val="nil"/>
              <w:left w:val="nil"/>
              <w:bottom w:val="nil"/>
              <w:right w:val="nil"/>
            </w:tcBorders>
          </w:tcPr>
          <w:p w14:paraId="1E5F505D" w14:textId="77777777" w:rsidR="00F05C73" w:rsidRDefault="00F74ED1">
            <w:pPr>
              <w:spacing w:line="259" w:lineRule="auto"/>
            </w:pPr>
            <w:r>
              <w:rPr>
                <w:rFonts w:ascii="Calibri" w:eastAsia="Calibri" w:hAnsi="Calibri" w:cs="Calibri"/>
                <w:b/>
              </w:rPr>
              <w:t xml:space="preserve">Data Protection Legislation </w:t>
            </w:r>
          </w:p>
        </w:tc>
        <w:tc>
          <w:tcPr>
            <w:tcW w:w="6531" w:type="dxa"/>
            <w:tcBorders>
              <w:top w:val="nil"/>
              <w:left w:val="nil"/>
              <w:bottom w:val="nil"/>
              <w:right w:val="nil"/>
            </w:tcBorders>
          </w:tcPr>
          <w:p w14:paraId="55D904F8" w14:textId="77777777" w:rsidR="00F05C73" w:rsidRDefault="00F74ED1">
            <w:pPr>
              <w:spacing w:line="259" w:lineRule="auto"/>
              <w:ind w:right="46"/>
            </w:pPr>
            <w:r>
              <w:t xml:space="preserve">For the purposes of this Agreement, </w:t>
            </w:r>
            <w:r>
              <w:rPr>
                <w:rFonts w:ascii="Calibri" w:eastAsia="Calibri" w:hAnsi="Calibri" w:cs="Calibri"/>
                <w:b/>
              </w:rPr>
              <w:t>“Data Protection Legislation”</w:t>
            </w:r>
            <w:r>
              <w:t xml:space="preserve"> means the UK Data Protection Legislation and the UK GDPR (meaning Regulation (EU) 2016/679 of the European Parliament and of the Council of 27th April 2016 on the protection of natural persons with regard to the processing of personal data and on the free movement of such data (General Data Protection Regulation) as it forms part of the law of England and Wales, Scotland and Northern Ireland by virtue of section 3 of the European Union (Withdrawal) Act 2018)   and any other directly applicable European Union regulation related to data protection, where </w:t>
            </w:r>
            <w:r>
              <w:rPr>
                <w:rFonts w:ascii="Calibri" w:eastAsia="Calibri" w:hAnsi="Calibri" w:cs="Calibri"/>
                <w:b/>
              </w:rPr>
              <w:t>“UK Data Protection Legislation”</w:t>
            </w:r>
            <w:r>
              <w:t xml:space="preserve"> means any data protection legislation in force from time to time in the UK including the Data Protection Act 1998 or 2018 or any successor legislation. </w:t>
            </w:r>
          </w:p>
          <w:p w14:paraId="499AD44E" w14:textId="77777777" w:rsidR="00C02825" w:rsidRDefault="00C02825">
            <w:pPr>
              <w:spacing w:line="259" w:lineRule="auto"/>
              <w:ind w:right="46"/>
            </w:pPr>
          </w:p>
        </w:tc>
      </w:tr>
      <w:tr w:rsidR="00C003EF" w14:paraId="14622E65" w14:textId="77777777" w:rsidTr="00974907">
        <w:trPr>
          <w:trHeight w:val="851"/>
        </w:trPr>
        <w:tc>
          <w:tcPr>
            <w:tcW w:w="2727" w:type="dxa"/>
            <w:tcBorders>
              <w:top w:val="nil"/>
              <w:left w:val="nil"/>
              <w:bottom w:val="nil"/>
              <w:right w:val="nil"/>
            </w:tcBorders>
          </w:tcPr>
          <w:p w14:paraId="32B0565D" w14:textId="225ABE2B" w:rsidR="00C003EF" w:rsidRDefault="00C003EF">
            <w:pPr>
              <w:rPr>
                <w:rFonts w:ascii="Calibri" w:eastAsia="Calibri" w:hAnsi="Calibri" w:cs="Calibri"/>
                <w:b/>
              </w:rPr>
            </w:pPr>
            <w:r>
              <w:rPr>
                <w:rFonts w:ascii="Calibri" w:eastAsia="Calibri" w:hAnsi="Calibri" w:cs="Calibri"/>
                <w:b/>
              </w:rPr>
              <w:t>Data Access Fee</w:t>
            </w:r>
          </w:p>
        </w:tc>
        <w:tc>
          <w:tcPr>
            <w:tcW w:w="6531" w:type="dxa"/>
            <w:tcBorders>
              <w:top w:val="nil"/>
              <w:left w:val="nil"/>
              <w:bottom w:val="nil"/>
              <w:right w:val="nil"/>
            </w:tcBorders>
          </w:tcPr>
          <w:p w14:paraId="31EE0C7F" w14:textId="18C80796" w:rsidR="00C003EF" w:rsidRDefault="00C003EF">
            <w:pPr>
              <w:ind w:right="46"/>
            </w:pPr>
            <w:r>
              <w:t>The fees payable by the Receiving Organisation for access to the data, the details of</w:t>
            </w:r>
            <w:r>
              <w:rPr>
                <w:rFonts w:ascii="Calibri" w:eastAsia="Calibri" w:hAnsi="Calibri" w:cs="Calibri"/>
                <w:b/>
              </w:rPr>
              <w:t xml:space="preserve"> </w:t>
            </w:r>
            <w:r>
              <w:t>which appear in the Front Sheet.</w:t>
            </w:r>
          </w:p>
        </w:tc>
      </w:tr>
      <w:tr w:rsidR="00C003EF" w14:paraId="28A890E9" w14:textId="77777777" w:rsidTr="00974907">
        <w:trPr>
          <w:trHeight w:val="982"/>
        </w:trPr>
        <w:tc>
          <w:tcPr>
            <w:tcW w:w="2727" w:type="dxa"/>
            <w:tcBorders>
              <w:top w:val="nil"/>
              <w:left w:val="nil"/>
              <w:bottom w:val="nil"/>
              <w:right w:val="nil"/>
            </w:tcBorders>
          </w:tcPr>
          <w:p w14:paraId="1B90974F" w14:textId="6B9837EC" w:rsidR="00C003EF" w:rsidRDefault="00C003EF">
            <w:pPr>
              <w:rPr>
                <w:rFonts w:ascii="Calibri" w:eastAsia="Calibri" w:hAnsi="Calibri" w:cs="Calibri"/>
                <w:b/>
              </w:rPr>
            </w:pPr>
            <w:r>
              <w:rPr>
                <w:rFonts w:ascii="Calibri" w:eastAsia="Calibri" w:hAnsi="Calibri" w:cs="Calibri"/>
                <w:b/>
              </w:rPr>
              <w:lastRenderedPageBreak/>
              <w:t>Host Platform</w:t>
            </w:r>
          </w:p>
        </w:tc>
        <w:tc>
          <w:tcPr>
            <w:tcW w:w="6531" w:type="dxa"/>
            <w:tcBorders>
              <w:top w:val="nil"/>
              <w:left w:val="nil"/>
              <w:bottom w:val="nil"/>
              <w:right w:val="nil"/>
            </w:tcBorders>
          </w:tcPr>
          <w:p w14:paraId="6B6C03BF" w14:textId="4CD7B8BE" w:rsidR="00C003EF" w:rsidRDefault="00C003EF" w:rsidP="006D2B7C">
            <w:pPr>
              <w:ind w:right="46"/>
            </w:pPr>
            <w:r>
              <w:t>The platform identified in the Front Sheet where the Licensed Datasets are</w:t>
            </w:r>
            <w:r w:rsidRPr="006D2B7C">
              <w:t xml:space="preserve"> </w:t>
            </w:r>
            <w:r>
              <w:t xml:space="preserve">hosted or any replacement platform adopted by BTHFT the details of which will be notified to the Research Institute. </w:t>
            </w:r>
          </w:p>
          <w:p w14:paraId="1509810D" w14:textId="77777777" w:rsidR="00C003EF" w:rsidRDefault="00C003EF">
            <w:pPr>
              <w:ind w:right="46"/>
            </w:pPr>
          </w:p>
        </w:tc>
      </w:tr>
      <w:tr w:rsidR="00C003EF" w14:paraId="227AB31A" w14:textId="77777777" w:rsidTr="00974907">
        <w:trPr>
          <w:trHeight w:val="2666"/>
        </w:trPr>
        <w:tc>
          <w:tcPr>
            <w:tcW w:w="2727" w:type="dxa"/>
            <w:tcBorders>
              <w:top w:val="nil"/>
              <w:left w:val="nil"/>
              <w:bottom w:val="nil"/>
              <w:right w:val="nil"/>
            </w:tcBorders>
          </w:tcPr>
          <w:p w14:paraId="2A8DF8B4" w14:textId="1BA49882" w:rsidR="00C003EF" w:rsidRDefault="006D2B7C">
            <w:pPr>
              <w:rPr>
                <w:rFonts w:ascii="Calibri" w:eastAsia="Calibri" w:hAnsi="Calibri" w:cs="Calibri"/>
                <w:b/>
              </w:rPr>
            </w:pPr>
            <w:r>
              <w:rPr>
                <w:rFonts w:ascii="Calibri" w:eastAsia="Calibri" w:hAnsi="Calibri" w:cs="Calibri"/>
                <w:b/>
              </w:rPr>
              <w:t>Intellectual Property Rights</w:t>
            </w:r>
          </w:p>
        </w:tc>
        <w:tc>
          <w:tcPr>
            <w:tcW w:w="6531" w:type="dxa"/>
            <w:tcBorders>
              <w:top w:val="nil"/>
              <w:left w:val="nil"/>
              <w:bottom w:val="nil"/>
              <w:right w:val="nil"/>
            </w:tcBorders>
          </w:tcPr>
          <w:p w14:paraId="68447C74" w14:textId="77777777" w:rsidR="00C003EF" w:rsidRDefault="006D2B7C">
            <w:pPr>
              <w:ind w:right="46"/>
            </w:pPr>
            <w:r>
              <w:t>The patents, rights to inventions, copyright and related rights, moral rights, trademarks and service marks, business names and domain names, rights in getup, goodwill and the right to sue for passing off,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238AE4DD" w14:textId="2F2E6913" w:rsidR="006D2B7C" w:rsidRDefault="006D2B7C">
            <w:pPr>
              <w:ind w:right="46"/>
            </w:pPr>
          </w:p>
        </w:tc>
      </w:tr>
      <w:tr w:rsidR="006D2B7C" w14:paraId="5830A0D4" w14:textId="77777777" w:rsidTr="00974907">
        <w:trPr>
          <w:trHeight w:val="373"/>
        </w:trPr>
        <w:tc>
          <w:tcPr>
            <w:tcW w:w="2727" w:type="dxa"/>
            <w:tcBorders>
              <w:top w:val="nil"/>
              <w:left w:val="nil"/>
              <w:bottom w:val="nil"/>
              <w:right w:val="nil"/>
            </w:tcBorders>
          </w:tcPr>
          <w:p w14:paraId="6D3241A3" w14:textId="6ECB713F" w:rsidR="006D2B7C" w:rsidRDefault="006D2B7C">
            <w:pPr>
              <w:rPr>
                <w:rFonts w:ascii="Calibri" w:eastAsia="Calibri" w:hAnsi="Calibri" w:cs="Calibri"/>
                <w:b/>
              </w:rPr>
            </w:pPr>
            <w:r>
              <w:rPr>
                <w:rFonts w:ascii="Calibri" w:eastAsia="Calibri" w:hAnsi="Calibri" w:cs="Calibri"/>
                <w:b/>
              </w:rPr>
              <w:t>Executive</w:t>
            </w:r>
          </w:p>
        </w:tc>
        <w:tc>
          <w:tcPr>
            <w:tcW w:w="6531" w:type="dxa"/>
            <w:tcBorders>
              <w:top w:val="nil"/>
              <w:left w:val="nil"/>
              <w:bottom w:val="nil"/>
              <w:right w:val="nil"/>
            </w:tcBorders>
          </w:tcPr>
          <w:p w14:paraId="08C6AA0C" w14:textId="6DA8F36E" w:rsidR="006D2B7C" w:rsidRDefault="006D2B7C">
            <w:pPr>
              <w:ind w:right="46"/>
            </w:pPr>
            <w:r>
              <w:t>The B</w:t>
            </w:r>
            <w:r w:rsidR="00832AB1">
              <w:t>I</w:t>
            </w:r>
            <w:r>
              <w:t>B Executive</w:t>
            </w:r>
            <w:r w:rsidR="00877AFE">
              <w:t xml:space="preserve">, who can be contacted by email to </w:t>
            </w:r>
            <w:hyperlink r:id="rId8" w:history="1">
              <w:r w:rsidR="00877AFE" w:rsidRPr="00D7582E">
                <w:rPr>
                  <w:rStyle w:val="Hyperlink"/>
                </w:rPr>
                <w:t>borninbradford@bthft.nhs.uk</w:t>
              </w:r>
            </w:hyperlink>
          </w:p>
          <w:p w14:paraId="3C0CF570" w14:textId="69EA78A3" w:rsidR="006D2B7C" w:rsidRDefault="006D2B7C">
            <w:pPr>
              <w:ind w:right="46"/>
            </w:pPr>
          </w:p>
        </w:tc>
      </w:tr>
      <w:tr w:rsidR="006D2B7C" w14:paraId="346B9DF0" w14:textId="77777777" w:rsidTr="00974907">
        <w:trPr>
          <w:trHeight w:val="279"/>
        </w:trPr>
        <w:tc>
          <w:tcPr>
            <w:tcW w:w="2727" w:type="dxa"/>
            <w:tcBorders>
              <w:top w:val="nil"/>
              <w:left w:val="nil"/>
              <w:bottom w:val="nil"/>
              <w:right w:val="nil"/>
            </w:tcBorders>
          </w:tcPr>
          <w:p w14:paraId="5C96C85E" w14:textId="076CFFD2" w:rsidR="006D2B7C" w:rsidRDefault="006D2B7C">
            <w:pPr>
              <w:rPr>
                <w:rFonts w:ascii="Calibri" w:eastAsia="Calibri" w:hAnsi="Calibri" w:cs="Calibri"/>
                <w:b/>
              </w:rPr>
            </w:pPr>
            <w:r>
              <w:rPr>
                <w:rFonts w:ascii="Calibri" w:eastAsia="Calibri" w:hAnsi="Calibri" w:cs="Calibri"/>
                <w:b/>
              </w:rPr>
              <w:t>Special Conditions</w:t>
            </w:r>
          </w:p>
        </w:tc>
        <w:tc>
          <w:tcPr>
            <w:tcW w:w="6531" w:type="dxa"/>
            <w:tcBorders>
              <w:top w:val="nil"/>
              <w:left w:val="nil"/>
              <w:bottom w:val="nil"/>
              <w:right w:val="nil"/>
            </w:tcBorders>
          </w:tcPr>
          <w:p w14:paraId="11BA8A96" w14:textId="77777777" w:rsidR="006D2B7C" w:rsidRDefault="006D2B7C" w:rsidP="006D2B7C">
            <w:pPr>
              <w:tabs>
                <w:tab w:val="center" w:pos="4727"/>
              </w:tabs>
            </w:pPr>
            <w:r>
              <w:t xml:space="preserve">Any special conditions set out in the Front Sheet. </w:t>
            </w:r>
          </w:p>
          <w:p w14:paraId="1F91B8CF" w14:textId="77777777" w:rsidR="006D2B7C" w:rsidRDefault="006D2B7C">
            <w:pPr>
              <w:ind w:right="46"/>
            </w:pPr>
          </w:p>
        </w:tc>
      </w:tr>
      <w:tr w:rsidR="006D2B7C" w14:paraId="07A8AADF" w14:textId="77777777" w:rsidTr="00974907">
        <w:trPr>
          <w:trHeight w:val="417"/>
        </w:trPr>
        <w:tc>
          <w:tcPr>
            <w:tcW w:w="2727" w:type="dxa"/>
            <w:tcBorders>
              <w:top w:val="nil"/>
              <w:left w:val="nil"/>
              <w:bottom w:val="nil"/>
              <w:right w:val="nil"/>
            </w:tcBorders>
          </w:tcPr>
          <w:p w14:paraId="1F96D7A2" w14:textId="08C4632F" w:rsidR="006D2B7C" w:rsidRDefault="006D2B7C">
            <w:pPr>
              <w:rPr>
                <w:rFonts w:ascii="Calibri" w:eastAsia="Calibri" w:hAnsi="Calibri" w:cs="Calibri"/>
                <w:b/>
              </w:rPr>
            </w:pPr>
            <w:r>
              <w:rPr>
                <w:rFonts w:ascii="Calibri" w:eastAsia="Calibri" w:hAnsi="Calibri" w:cs="Calibri"/>
                <w:b/>
              </w:rPr>
              <w:t>Study</w:t>
            </w:r>
          </w:p>
        </w:tc>
        <w:tc>
          <w:tcPr>
            <w:tcW w:w="6531" w:type="dxa"/>
            <w:tcBorders>
              <w:top w:val="nil"/>
              <w:left w:val="nil"/>
              <w:bottom w:val="nil"/>
              <w:right w:val="nil"/>
            </w:tcBorders>
          </w:tcPr>
          <w:p w14:paraId="4CBFC392" w14:textId="14CE9CD0" w:rsidR="006D2B7C" w:rsidRDefault="006D2B7C" w:rsidP="006D2B7C">
            <w:pPr>
              <w:tabs>
                <w:tab w:val="center" w:pos="4903"/>
              </w:tabs>
            </w:pPr>
            <w:r>
              <w:t>Born in Bradford</w:t>
            </w:r>
            <w:r w:rsidR="00832AB1">
              <w:t>, also known as BIB</w:t>
            </w:r>
            <w:r>
              <w:t xml:space="preserve">. </w:t>
            </w:r>
          </w:p>
          <w:p w14:paraId="78DB145A" w14:textId="77777777" w:rsidR="006D2B7C" w:rsidRDefault="006D2B7C">
            <w:pPr>
              <w:ind w:right="46"/>
            </w:pPr>
          </w:p>
        </w:tc>
      </w:tr>
      <w:tr w:rsidR="006A415B" w14:paraId="363A4D62" w14:textId="77777777" w:rsidTr="00974907">
        <w:trPr>
          <w:trHeight w:val="417"/>
        </w:trPr>
        <w:tc>
          <w:tcPr>
            <w:tcW w:w="2727" w:type="dxa"/>
            <w:tcBorders>
              <w:top w:val="nil"/>
              <w:left w:val="nil"/>
              <w:bottom w:val="nil"/>
              <w:right w:val="nil"/>
            </w:tcBorders>
          </w:tcPr>
          <w:p w14:paraId="0C18C66A" w14:textId="25625432" w:rsidR="006A415B" w:rsidRDefault="006A415B">
            <w:pPr>
              <w:rPr>
                <w:rFonts w:ascii="Calibri" w:eastAsia="Calibri" w:hAnsi="Calibri" w:cs="Calibri"/>
                <w:b/>
              </w:rPr>
            </w:pPr>
            <w:r>
              <w:rPr>
                <w:rFonts w:ascii="Calibri" w:eastAsia="Calibri" w:hAnsi="Calibri" w:cs="Calibri"/>
                <w:b/>
              </w:rPr>
              <w:t>BIB Data FAQs</w:t>
            </w:r>
          </w:p>
        </w:tc>
        <w:tc>
          <w:tcPr>
            <w:tcW w:w="6531" w:type="dxa"/>
            <w:tcBorders>
              <w:top w:val="nil"/>
              <w:left w:val="nil"/>
              <w:bottom w:val="nil"/>
              <w:right w:val="nil"/>
            </w:tcBorders>
          </w:tcPr>
          <w:p w14:paraId="67EBEE12" w14:textId="3DF9F798" w:rsidR="006A415B" w:rsidRDefault="006A415B" w:rsidP="006D2B7C">
            <w:pPr>
              <w:tabs>
                <w:tab w:val="center" w:pos="4903"/>
              </w:tabs>
            </w:pPr>
            <w:r>
              <w:t xml:space="preserve">The Born in Bradford Data Guidance and FAQs hosted at the Born in Bradford website at </w:t>
            </w:r>
            <w:hyperlink r:id="rId9" w:history="1">
              <w:r w:rsidRPr="00F82985">
                <w:rPr>
                  <w:rStyle w:val="Hyperlink"/>
                </w:rPr>
                <w:t>https://borninbradford.nhs.uk/our-data/guidance-and-faqs/</w:t>
              </w:r>
            </w:hyperlink>
          </w:p>
          <w:p w14:paraId="2D808350" w14:textId="4C915C45" w:rsidR="006A415B" w:rsidRDefault="006A415B" w:rsidP="006D2B7C">
            <w:pPr>
              <w:tabs>
                <w:tab w:val="center" w:pos="4903"/>
              </w:tabs>
            </w:pPr>
          </w:p>
        </w:tc>
      </w:tr>
    </w:tbl>
    <w:p w14:paraId="2D2017D2" w14:textId="73BE9612" w:rsidR="00F05C73" w:rsidRDefault="00F05C73">
      <w:pPr>
        <w:spacing w:after="0"/>
      </w:pPr>
    </w:p>
    <w:p w14:paraId="433EA45D" w14:textId="77777777" w:rsidR="00F05C73" w:rsidRDefault="00F74ED1">
      <w:r>
        <w:t xml:space="preserve">Subject to any Special Conditions agreed between the parties as set out in the Front Sheet, the parties agree as follows: </w:t>
      </w:r>
    </w:p>
    <w:p w14:paraId="55344BCA" w14:textId="77777777" w:rsidR="00F05C73" w:rsidRDefault="00F74ED1">
      <w:pPr>
        <w:spacing w:after="13"/>
        <w:ind w:left="566"/>
      </w:pPr>
      <w:r>
        <w:rPr>
          <w:rFonts w:ascii="Calibri" w:eastAsia="Calibri" w:hAnsi="Calibri" w:cs="Calibri"/>
          <w:b/>
        </w:rPr>
        <w:t xml:space="preserve"> </w:t>
      </w:r>
    </w:p>
    <w:p w14:paraId="524C7393" w14:textId="1DF88BC0" w:rsidR="00F05C73" w:rsidRDefault="00F74ED1">
      <w:pPr>
        <w:numPr>
          <w:ilvl w:val="0"/>
          <w:numId w:val="2"/>
        </w:numPr>
        <w:ind w:hanging="566"/>
      </w:pPr>
      <w:r>
        <w:rPr>
          <w:rFonts w:ascii="Calibri" w:eastAsia="Calibri" w:hAnsi="Calibri" w:cs="Calibri"/>
          <w:b/>
        </w:rPr>
        <w:t>Grant of licence</w:t>
      </w:r>
      <w:r>
        <w:t xml:space="preserve">: Subject to the terms of this agreement, in consideration of the payment of the Data Access Fee, </w:t>
      </w:r>
      <w:r w:rsidR="007914E9">
        <w:t>BTHFT</w:t>
      </w:r>
      <w:r>
        <w:t xml:space="preserve"> grants the </w:t>
      </w:r>
      <w:r w:rsidR="00A46068">
        <w:t>Receiving Organisation</w:t>
      </w:r>
      <w:r>
        <w:t xml:space="preserve"> (and through the </w:t>
      </w:r>
      <w:r w:rsidR="00A46068">
        <w:t>Receiving Organisation</w:t>
      </w:r>
      <w:r>
        <w:t>, the Lead Applicant) a non-exclusive, non-transferable, revocable licence from the Effective Date and during the Access Period to access (and in some instances hold, store, and make copies of), view, combine or aggregate (wholly or in part) and adapt the Licensed Datasets, as defined in the Authorised Research Application, solely for the purposes of the Authorised Research.</w:t>
      </w:r>
      <w:r>
        <w:rPr>
          <w:rFonts w:ascii="Calibri" w:eastAsia="Calibri" w:hAnsi="Calibri" w:cs="Calibri"/>
          <w:b/>
        </w:rPr>
        <w:t xml:space="preserve"> </w:t>
      </w:r>
    </w:p>
    <w:p w14:paraId="59FABD85" w14:textId="77777777" w:rsidR="00F05C73" w:rsidRDefault="00F74ED1">
      <w:pPr>
        <w:spacing w:after="13"/>
        <w:ind w:left="566"/>
      </w:pPr>
      <w:r>
        <w:rPr>
          <w:rFonts w:ascii="Calibri" w:eastAsia="Calibri" w:hAnsi="Calibri" w:cs="Calibri"/>
          <w:b/>
        </w:rPr>
        <w:t xml:space="preserve"> </w:t>
      </w:r>
    </w:p>
    <w:p w14:paraId="03457F79" w14:textId="444CEACF" w:rsidR="00F05C73" w:rsidRDefault="00F74ED1">
      <w:pPr>
        <w:numPr>
          <w:ilvl w:val="0"/>
          <w:numId w:val="2"/>
        </w:numPr>
        <w:ind w:hanging="566"/>
      </w:pPr>
      <w:r>
        <w:rPr>
          <w:rFonts w:ascii="Calibri" w:eastAsia="Calibri" w:hAnsi="Calibri" w:cs="Calibri"/>
          <w:b/>
        </w:rPr>
        <w:t>Reservation of rights</w:t>
      </w:r>
      <w:r>
        <w:t xml:space="preserve">: All intellectual property rights throughout the world, whether existing now or in the future and whether registered or unregistered, subsisting in the Licensed Datasets (including copyright and related rights, database rights and </w:t>
      </w:r>
      <w:r>
        <w:rPr>
          <w:rFonts w:ascii="Calibri" w:eastAsia="Calibri" w:hAnsi="Calibri" w:cs="Calibri"/>
          <w:i/>
        </w:rPr>
        <w:t xml:space="preserve">sui generis </w:t>
      </w:r>
      <w:r>
        <w:t xml:space="preserve">database rights) shall remain the property of </w:t>
      </w:r>
      <w:r w:rsidR="007914E9">
        <w:t>BTHFT</w:t>
      </w:r>
      <w:r>
        <w:t xml:space="preserve">, and neither the </w:t>
      </w:r>
      <w:r w:rsidR="00A46068">
        <w:t>Receiving Organisation</w:t>
      </w:r>
      <w:r>
        <w:t xml:space="preserve"> nor the Lead Applicant  shall have any rights in or to the Licensed Datasets other than in accordance with this agreement.</w:t>
      </w:r>
      <w:r>
        <w:rPr>
          <w:rFonts w:ascii="Calibri" w:eastAsia="Calibri" w:hAnsi="Calibri" w:cs="Calibri"/>
          <w:b/>
        </w:rPr>
        <w:t xml:space="preserve"> </w:t>
      </w:r>
    </w:p>
    <w:p w14:paraId="1C37E481" w14:textId="7FF440BB" w:rsidR="00F05C73" w:rsidRDefault="00F05C73" w:rsidP="006D2B7C">
      <w:pPr>
        <w:spacing w:after="13"/>
      </w:pPr>
    </w:p>
    <w:p w14:paraId="40D79F1D" w14:textId="2AB1BEDF" w:rsidR="00F05C73" w:rsidRDefault="00F74ED1" w:rsidP="006D2B7C">
      <w:pPr>
        <w:numPr>
          <w:ilvl w:val="0"/>
          <w:numId w:val="2"/>
        </w:numPr>
        <w:ind w:hanging="566"/>
      </w:pPr>
      <w:r>
        <w:rPr>
          <w:rFonts w:ascii="Calibri" w:eastAsia="Calibri" w:hAnsi="Calibri" w:cs="Calibri"/>
          <w:b/>
        </w:rPr>
        <w:t>Licence restrictions:</w:t>
      </w:r>
      <w:r>
        <w:t xml:space="preserve"> The </w:t>
      </w:r>
      <w:r w:rsidR="00A46068">
        <w:t>Receiving Organisation</w:t>
      </w:r>
      <w:r>
        <w:t xml:space="preserve"> shall:</w:t>
      </w:r>
      <w:r>
        <w:rPr>
          <w:rFonts w:ascii="Calibri" w:eastAsia="Calibri" w:hAnsi="Calibri" w:cs="Calibri"/>
          <w:b/>
        </w:rPr>
        <w:t xml:space="preserve"> </w:t>
      </w:r>
    </w:p>
    <w:p w14:paraId="2AFFF021" w14:textId="058D2D56" w:rsidR="00F05C73" w:rsidRDefault="00F74ED1">
      <w:pPr>
        <w:numPr>
          <w:ilvl w:val="1"/>
          <w:numId w:val="2"/>
        </w:numPr>
        <w:ind w:hanging="720"/>
      </w:pPr>
      <w:r>
        <w:lastRenderedPageBreak/>
        <w:t xml:space="preserve">only use the Licensed Datasets for the purposes of carrying out the Authorised Research as described in Schedule </w:t>
      </w:r>
      <w:r w:rsidR="00C02825">
        <w:t>4</w:t>
      </w:r>
      <w:r>
        <w:t xml:space="preserve"> and in accordance with this agreement (including any Special Conditions set out in the Front Sheet) and the IDTA (if applicable) and all Applicable Law;</w:t>
      </w:r>
      <w:r>
        <w:rPr>
          <w:rFonts w:ascii="Calibri" w:eastAsia="Calibri" w:hAnsi="Calibri" w:cs="Calibri"/>
          <w:b/>
        </w:rPr>
        <w:t xml:space="preserve"> </w:t>
      </w:r>
    </w:p>
    <w:p w14:paraId="37ABFE9A" w14:textId="77777777" w:rsidR="00F05C73" w:rsidRDefault="00F74ED1">
      <w:pPr>
        <w:numPr>
          <w:ilvl w:val="1"/>
          <w:numId w:val="2"/>
        </w:numPr>
        <w:ind w:hanging="720"/>
      </w:pPr>
      <w:r>
        <w:t>only make copies of the Licensed Datasets to the extent necessary to undertake the Authorised Research and for back-up and disaster recovery purposes;</w:t>
      </w:r>
      <w:r>
        <w:rPr>
          <w:rFonts w:ascii="Calibri" w:eastAsia="Calibri" w:hAnsi="Calibri" w:cs="Calibri"/>
          <w:b/>
        </w:rPr>
        <w:t xml:space="preserve"> </w:t>
      </w:r>
    </w:p>
    <w:p w14:paraId="5C5320E7" w14:textId="4B74B76A" w:rsidR="00F05C73" w:rsidRDefault="00F74ED1">
      <w:pPr>
        <w:numPr>
          <w:ilvl w:val="1"/>
          <w:numId w:val="2"/>
        </w:numPr>
        <w:ind w:hanging="720"/>
      </w:pPr>
      <w:r>
        <w:t xml:space="preserve">not permit any third party other than the Lead Applicant and bona fide members of the </w:t>
      </w:r>
      <w:r>
        <w:rPr>
          <w:rFonts w:ascii="Calibri" w:eastAsia="Calibri" w:hAnsi="Calibri" w:cs="Calibri"/>
        </w:rPr>
        <w:t>Lead Applicant’s research team</w:t>
      </w:r>
      <w:r>
        <w:t xml:space="preserve"> who are included in the project proposal with </w:t>
      </w:r>
      <w:r w:rsidR="00204AC1">
        <w:t>BiB</w:t>
      </w:r>
      <w:r>
        <w:t>, to have access to the Licensed Datasets;</w:t>
      </w:r>
      <w:r>
        <w:rPr>
          <w:rFonts w:ascii="Calibri" w:eastAsia="Calibri" w:hAnsi="Calibri" w:cs="Calibri"/>
          <w:b/>
        </w:rPr>
        <w:t xml:space="preserve"> </w:t>
      </w:r>
    </w:p>
    <w:p w14:paraId="7C221847" w14:textId="2AA8F35C" w:rsidR="00F05C73" w:rsidRDefault="00F74ED1">
      <w:pPr>
        <w:numPr>
          <w:ilvl w:val="1"/>
          <w:numId w:val="2"/>
        </w:numPr>
        <w:ind w:hanging="720"/>
      </w:pPr>
      <w:r>
        <w:t xml:space="preserve">not attempt to link the Licensed Datasets (wholly or partly) with any other data held by or available to the Lead Applicant, different Recipients or by the </w:t>
      </w:r>
      <w:r w:rsidR="00A46068">
        <w:t>Receiving Organisation</w:t>
      </w:r>
      <w:r>
        <w:t xml:space="preserve"> for other projects, unless specified and agreed in the initial data request;</w:t>
      </w:r>
      <w:r>
        <w:rPr>
          <w:rFonts w:ascii="Calibri" w:eastAsia="Calibri" w:hAnsi="Calibri" w:cs="Calibri"/>
          <w:b/>
        </w:rPr>
        <w:t xml:space="preserve"> </w:t>
      </w:r>
    </w:p>
    <w:p w14:paraId="430A5E3E" w14:textId="77777777" w:rsidR="00F05C73" w:rsidRDefault="00F74ED1">
      <w:pPr>
        <w:numPr>
          <w:ilvl w:val="1"/>
          <w:numId w:val="2"/>
        </w:numPr>
        <w:ind w:hanging="720"/>
      </w:pPr>
      <w:r>
        <w:t>not disseminate, distribute, extract, exploit or otherwise use the Licensed Datasets (wholly or in part) for any commercial purposes or for any purpose that is subject to consulting or licensing obligations to third parties;</w:t>
      </w:r>
      <w:r>
        <w:rPr>
          <w:rFonts w:ascii="Calibri" w:eastAsia="Calibri" w:hAnsi="Calibri" w:cs="Calibri"/>
          <w:b/>
        </w:rPr>
        <w:t xml:space="preserve"> </w:t>
      </w:r>
    </w:p>
    <w:p w14:paraId="296653AE" w14:textId="12375E19" w:rsidR="00F05C73" w:rsidRDefault="00F74ED1">
      <w:pPr>
        <w:numPr>
          <w:ilvl w:val="1"/>
          <w:numId w:val="2"/>
        </w:numPr>
        <w:ind w:hanging="720"/>
      </w:pPr>
      <w:r>
        <w:t xml:space="preserve">request permission from </w:t>
      </w:r>
      <w:r w:rsidR="007914E9">
        <w:t>BTHFT</w:t>
      </w:r>
      <w:r>
        <w:t xml:space="preserve"> (via </w:t>
      </w:r>
      <w:r w:rsidR="00204AC1">
        <w:t>BIB</w:t>
      </w:r>
      <w:r>
        <w:t xml:space="preserve">) in advance if any Licensed Datasets are to be transferred </w:t>
      </w:r>
      <w:r>
        <w:rPr>
          <w:rFonts w:ascii="Calibri" w:eastAsia="Calibri" w:hAnsi="Calibri" w:cs="Calibri"/>
        </w:rPr>
        <w:t xml:space="preserve">across any country’s border, or </w:t>
      </w:r>
      <w:r>
        <w:t xml:space="preserve">if the </w:t>
      </w:r>
      <w:r w:rsidR="00E6795C">
        <w:t>Licensed Datasets</w:t>
      </w:r>
      <w:r>
        <w:t xml:space="preserve"> to be accessed from outside the UK. The </w:t>
      </w:r>
      <w:r w:rsidR="00A46068">
        <w:t>Receiving Organisation</w:t>
      </w:r>
      <w:r>
        <w:t xml:space="preserve"> shall comply with any additional obligations to be imposed by </w:t>
      </w:r>
      <w:r w:rsidR="007914E9">
        <w:t>BTHFT</w:t>
      </w:r>
      <w:r>
        <w:t xml:space="preserve"> to ensure compliance with Data Protection Legislation in such circumstances. This will include the </w:t>
      </w:r>
      <w:r w:rsidR="00A46068">
        <w:t>Receiving Organisation</w:t>
      </w:r>
      <w:r>
        <w:t xml:space="preserve"> entering into an IDTA if the </w:t>
      </w:r>
      <w:r w:rsidR="00A46068">
        <w:t>Receiving Organisation</w:t>
      </w:r>
      <w:r>
        <w:t xml:space="preserve"> is based in a country that </w:t>
      </w:r>
      <w:r>
        <w:rPr>
          <w:rFonts w:ascii="Calibri" w:eastAsia="Calibri" w:hAnsi="Calibri" w:cs="Calibri"/>
          <w:b/>
        </w:rPr>
        <w:t>does not</w:t>
      </w:r>
      <w:r>
        <w:t xml:space="preserve"> have an adequacy decision in line with Data Protection Legislation. </w:t>
      </w:r>
    </w:p>
    <w:p w14:paraId="55A50F8E" w14:textId="3025E04A" w:rsidR="00F05C73" w:rsidRDefault="00F74ED1">
      <w:pPr>
        <w:numPr>
          <w:ilvl w:val="1"/>
          <w:numId w:val="2"/>
        </w:numPr>
        <w:ind w:hanging="720"/>
      </w:pPr>
      <w:r>
        <w:t xml:space="preserve">hold the </w:t>
      </w:r>
      <w:r w:rsidR="00E6795C">
        <w:t xml:space="preserve">Licensed Datasets </w:t>
      </w:r>
      <w:r>
        <w:t xml:space="preserve">securely in accordance with clause </w:t>
      </w:r>
      <w:r w:rsidR="004A0A93">
        <w:t>7</w:t>
      </w:r>
      <w:r>
        <w:t xml:space="preserve">, and not attempt to try and identify any Study Participants from the Licensed Datasets, and where inadvertent disclosure has taken place to notify the Executive as soon as is practicable and notify the Executive in reasonable detail as to how this occurred and not attempt to contact the Study Participants (unless contact has been approved as part of the agreed research project); </w:t>
      </w:r>
    </w:p>
    <w:p w14:paraId="38529028" w14:textId="5D53608F" w:rsidR="00F05C73" w:rsidRDefault="00F74ED1">
      <w:pPr>
        <w:numPr>
          <w:ilvl w:val="1"/>
          <w:numId w:val="2"/>
        </w:numPr>
        <w:ind w:hanging="720"/>
      </w:pPr>
      <w:r>
        <w:t xml:space="preserve">not attempt to remove any </w:t>
      </w:r>
      <w:r w:rsidR="00E6795C">
        <w:t xml:space="preserve">part of the Licensed Datasets </w:t>
      </w:r>
      <w:r>
        <w:t xml:space="preserve">from the Host Platform or to permit anyone else to have access to the </w:t>
      </w:r>
      <w:r w:rsidR="00E6795C">
        <w:t xml:space="preserve">Licensed Datasets </w:t>
      </w:r>
      <w:r>
        <w:t xml:space="preserve">unless this is expressly permitted under the terms of this agreement; and </w:t>
      </w:r>
    </w:p>
    <w:p w14:paraId="527112A4" w14:textId="58CE5499" w:rsidR="00F05C73" w:rsidRDefault="00F74ED1">
      <w:pPr>
        <w:numPr>
          <w:ilvl w:val="1"/>
          <w:numId w:val="2"/>
        </w:numPr>
        <w:ind w:hanging="720"/>
      </w:pPr>
      <w:r>
        <w:t>provide confirmation to the Executive of destruction of the Licensed Dataset</w:t>
      </w:r>
      <w:r w:rsidR="00472D7B">
        <w:t>s</w:t>
      </w:r>
      <w:r>
        <w:t xml:space="preserve"> if such destruction is requested by the Executive. Confirmation must be provided in written form and can be submitted to </w:t>
      </w:r>
      <w:hyperlink r:id="rId10" w:history="1">
        <w:r w:rsidR="00204AC1" w:rsidRPr="00F60099">
          <w:rPr>
            <w:rStyle w:val="Hyperlink"/>
          </w:rPr>
          <w:t>borninbradford@bthft.nhs.uk</w:t>
        </w:r>
      </w:hyperlink>
      <w:r w:rsidR="00204AC1">
        <w:t xml:space="preserve"> </w:t>
      </w:r>
      <w:r>
        <w:t xml:space="preserve">within twenty-eight (28) days of request. </w:t>
      </w:r>
    </w:p>
    <w:p w14:paraId="56E4FBB0" w14:textId="77777777" w:rsidR="00F05C73" w:rsidRDefault="00F74ED1">
      <w:pPr>
        <w:spacing w:after="13"/>
      </w:pPr>
      <w:r>
        <w:rPr>
          <w:rFonts w:ascii="Calibri" w:eastAsia="Calibri" w:hAnsi="Calibri" w:cs="Calibri"/>
          <w:b/>
        </w:rPr>
        <w:t xml:space="preserve"> </w:t>
      </w:r>
    </w:p>
    <w:p w14:paraId="29986E2C" w14:textId="77777777" w:rsidR="00F05C73" w:rsidRDefault="00F74ED1">
      <w:pPr>
        <w:numPr>
          <w:ilvl w:val="0"/>
          <w:numId w:val="2"/>
        </w:numPr>
        <w:spacing w:after="0"/>
        <w:ind w:hanging="566"/>
      </w:pPr>
      <w:r>
        <w:rPr>
          <w:rFonts w:ascii="Calibri" w:eastAsia="Calibri" w:hAnsi="Calibri" w:cs="Calibri"/>
          <w:b/>
        </w:rPr>
        <w:t xml:space="preserve">Intellectual Property Rights and Results: </w:t>
      </w:r>
    </w:p>
    <w:p w14:paraId="57C762A7" w14:textId="77777777" w:rsidR="00F05C73" w:rsidRDefault="00F74ED1">
      <w:pPr>
        <w:spacing w:after="0"/>
        <w:ind w:left="566"/>
      </w:pPr>
      <w:r>
        <w:t xml:space="preserve"> </w:t>
      </w:r>
    </w:p>
    <w:p w14:paraId="17208440" w14:textId="77777777" w:rsidR="00F05C73" w:rsidRDefault="00F74ED1">
      <w:pPr>
        <w:ind w:left="551"/>
      </w:pPr>
      <w:r>
        <w:t xml:space="preserve">The definitions of Raw Data, Resource Data, Derived Data, Meta Data, Synthetic Data, Researcher Analyses and Researcher Results shall have the meaning given to such terms in Schedule 1.  </w:t>
      </w:r>
    </w:p>
    <w:p w14:paraId="557E4E16" w14:textId="77777777" w:rsidR="00F05C73" w:rsidRDefault="00F74ED1">
      <w:pPr>
        <w:spacing w:after="13"/>
        <w:ind w:left="566"/>
      </w:pPr>
      <w:r>
        <w:t xml:space="preserve"> </w:t>
      </w:r>
    </w:p>
    <w:p w14:paraId="69867CBA" w14:textId="0CA2FE0C" w:rsidR="00F05C73" w:rsidRDefault="00F74ED1" w:rsidP="00DE5261">
      <w:pPr>
        <w:numPr>
          <w:ilvl w:val="1"/>
          <w:numId w:val="2"/>
        </w:numPr>
        <w:spacing w:after="120"/>
        <w:ind w:hanging="720"/>
      </w:pPr>
      <w:r>
        <w:t xml:space="preserve">Ownership of the Raw Data, Resource Data, Derived Data, Meta Data, Synthetic Data (including copyright and related rights, database rights and sui generis database rights) </w:t>
      </w:r>
      <w:r>
        <w:lastRenderedPageBreak/>
        <w:t>shall</w:t>
      </w:r>
      <w:r w:rsidR="00461D8B">
        <w:t xml:space="preserve"> </w:t>
      </w:r>
      <w:r>
        <w:t xml:space="preserve">vest in </w:t>
      </w:r>
      <w:r w:rsidR="007914E9">
        <w:t>BTHFT</w:t>
      </w:r>
      <w:r>
        <w:t xml:space="preserve"> and shall form part of the </w:t>
      </w:r>
      <w:r w:rsidR="00204AC1">
        <w:t>BIB</w:t>
      </w:r>
      <w:r>
        <w:t xml:space="preserve"> resource </w:t>
      </w:r>
      <w:r>
        <w:rPr>
          <w:rFonts w:ascii="Calibri" w:eastAsia="Calibri" w:hAnsi="Calibri" w:cs="Calibri"/>
          <w:b/>
        </w:rPr>
        <w:t>(“</w:t>
      </w:r>
      <w:r w:rsidR="00204AC1">
        <w:rPr>
          <w:rFonts w:ascii="Calibri" w:eastAsia="Calibri" w:hAnsi="Calibri" w:cs="Calibri"/>
          <w:b/>
        </w:rPr>
        <w:t>BIB</w:t>
      </w:r>
      <w:r>
        <w:rPr>
          <w:rFonts w:ascii="Calibri" w:eastAsia="Calibri" w:hAnsi="Calibri" w:cs="Calibri"/>
          <w:b/>
        </w:rPr>
        <w:t xml:space="preserve"> Data</w:t>
      </w:r>
      <w:r>
        <w:rPr>
          <w:rFonts w:ascii="Calibri" w:eastAsia="Calibri" w:hAnsi="Calibri" w:cs="Calibri"/>
        </w:rPr>
        <w:t xml:space="preserve">”). The </w:t>
      </w:r>
      <w:r w:rsidR="00A46068">
        <w:rPr>
          <w:rFonts w:ascii="Calibri" w:eastAsia="Calibri" w:hAnsi="Calibri" w:cs="Calibri"/>
        </w:rPr>
        <w:t>Receiving Organisation</w:t>
      </w:r>
      <w:r>
        <w:t xml:space="preserve"> hereby assigns to </w:t>
      </w:r>
      <w:r w:rsidR="007914E9">
        <w:t>BTHFT</w:t>
      </w:r>
      <w:r>
        <w:t xml:space="preserve"> absolutely (or to such other person as </w:t>
      </w:r>
      <w:r w:rsidR="007914E9">
        <w:t>BTHFT</w:t>
      </w:r>
      <w:r>
        <w:t xml:space="preserve"> shall nominate) with full title guarantee all its right, title and interest in and to all rights (including Intellectual Property Rights) in the Derived Data, Raw Data and Documentation the Recipient collects. </w:t>
      </w:r>
    </w:p>
    <w:p w14:paraId="2AAED132" w14:textId="5339E7D9" w:rsidR="00F05C73" w:rsidRDefault="00F74ED1" w:rsidP="00DE5261">
      <w:pPr>
        <w:numPr>
          <w:ilvl w:val="1"/>
          <w:numId w:val="2"/>
        </w:numPr>
        <w:spacing w:after="120" w:line="250" w:lineRule="auto"/>
        <w:ind w:left="1133" w:hanging="720"/>
      </w:pPr>
      <w:r>
        <w:t xml:space="preserve">Analyses and results (if any) </w:t>
      </w:r>
      <w:r w:rsidRPr="00204AC1">
        <w:t>derived from access to and use of the Licensed Datasets (“</w:t>
      </w:r>
      <w:r w:rsidR="00204AC1" w:rsidRPr="00204AC1">
        <w:rPr>
          <w:b/>
          <w:bCs/>
        </w:rPr>
        <w:t>Receiving Organisation</w:t>
      </w:r>
      <w:r w:rsidRPr="00204AC1">
        <w:rPr>
          <w:b/>
          <w:bCs/>
        </w:rPr>
        <w:t xml:space="preserve"> Results</w:t>
      </w:r>
      <w:r w:rsidRPr="00204AC1">
        <w:t xml:space="preserve">”) </w:t>
      </w:r>
      <w:r>
        <w:t xml:space="preserve">shall be owned by the </w:t>
      </w:r>
      <w:r w:rsidR="00A46068">
        <w:t>Receiving Organisation</w:t>
      </w:r>
      <w:r>
        <w:t xml:space="preserve">. The </w:t>
      </w:r>
      <w:r w:rsidR="00A46068">
        <w:t>Receiving Organisation</w:t>
      </w:r>
      <w:r>
        <w:t xml:space="preserve"> grants to </w:t>
      </w:r>
      <w:r w:rsidR="007914E9">
        <w:t>BTHFT</w:t>
      </w:r>
      <w:r>
        <w:t xml:space="preserve"> an irrevocable, perpetual, worldwide, transferable, royalty-free license to use all </w:t>
      </w:r>
      <w:r w:rsidR="00A46068">
        <w:t>Receiving Organisation</w:t>
      </w:r>
      <w:r>
        <w:t xml:space="preserve"> Results for research, teaching and other non-commercial purposes.</w:t>
      </w:r>
    </w:p>
    <w:p w14:paraId="0F9C3306" w14:textId="011FE8A5" w:rsidR="00F05C73" w:rsidRDefault="00204AC1" w:rsidP="00DE5261">
      <w:pPr>
        <w:numPr>
          <w:ilvl w:val="1"/>
          <w:numId w:val="2"/>
        </w:numPr>
        <w:spacing w:after="120" w:line="250" w:lineRule="auto"/>
        <w:ind w:left="1133" w:hanging="720"/>
      </w:pPr>
      <w:r>
        <w:t>The Receiving Organisation shall provide BTHFT with a complete electronic copy of any Raw Data, Derived Data and Meta Data generated from access to and use of the Licensed Datasets by the Lead Applicant, the Receiving Organisation Results and the syntax used to generate them within a period of six (6) months of completion of the Authorised Research.</w:t>
      </w:r>
    </w:p>
    <w:p w14:paraId="2FD6D7B7" w14:textId="77777777" w:rsidR="00DE5261" w:rsidRDefault="00F74ED1" w:rsidP="00DE5261">
      <w:pPr>
        <w:numPr>
          <w:ilvl w:val="1"/>
          <w:numId w:val="2"/>
        </w:numPr>
        <w:spacing w:after="120"/>
        <w:ind w:left="1134" w:hanging="708"/>
      </w:pPr>
      <w:r>
        <w:t xml:space="preserve">All data within any of the Licensed Datasets must be returned to </w:t>
      </w:r>
      <w:r w:rsidR="007914E9">
        <w:t>BTHFT</w:t>
      </w:r>
      <w:r>
        <w:t xml:space="preserve"> or destroyed (as directed by </w:t>
      </w:r>
      <w:r w:rsidR="007914E9">
        <w:t>BTHFT</w:t>
      </w:r>
      <w:r>
        <w:t xml:space="preserve">) on completion of the Authorised Research or on termination of this agreement, whichever is sooner. </w:t>
      </w:r>
    </w:p>
    <w:p w14:paraId="153431E7" w14:textId="737D5A4C" w:rsidR="00F05C73" w:rsidRDefault="00F74ED1" w:rsidP="00DE5261">
      <w:pPr>
        <w:numPr>
          <w:ilvl w:val="1"/>
          <w:numId w:val="2"/>
        </w:numPr>
        <w:spacing w:after="120"/>
        <w:ind w:left="1134" w:hanging="708"/>
      </w:pPr>
      <w:r>
        <w:t xml:space="preserve">If access to and use of the Licensed Datasets will not result in any </w:t>
      </w:r>
      <w:r w:rsidR="00A46068">
        <w:t>Receiving Organisation</w:t>
      </w:r>
      <w:r>
        <w:t xml:space="preserve"> Results the provisions of clauses 4(</w:t>
      </w:r>
      <w:r w:rsidR="00557A9E">
        <w:t>b</w:t>
      </w:r>
      <w:r>
        <w:t>) and (</w:t>
      </w:r>
      <w:r w:rsidR="00557A9E">
        <w:t>c</w:t>
      </w:r>
      <w:r>
        <w:t>) shall not apply.</w:t>
      </w:r>
    </w:p>
    <w:p w14:paraId="0E6B2C09" w14:textId="77777777" w:rsidR="00F05C73" w:rsidRDefault="00F74ED1">
      <w:pPr>
        <w:spacing w:after="13"/>
        <w:ind w:left="566"/>
      </w:pPr>
      <w:r>
        <w:rPr>
          <w:rFonts w:ascii="Calibri" w:eastAsia="Calibri" w:hAnsi="Calibri" w:cs="Calibri"/>
          <w:b/>
        </w:rPr>
        <w:t xml:space="preserve"> </w:t>
      </w:r>
    </w:p>
    <w:p w14:paraId="408502D4" w14:textId="061483CF" w:rsidR="00F05C73" w:rsidRDefault="00F74ED1">
      <w:pPr>
        <w:numPr>
          <w:ilvl w:val="0"/>
          <w:numId w:val="2"/>
        </w:numPr>
        <w:ind w:hanging="566"/>
      </w:pPr>
      <w:r>
        <w:rPr>
          <w:rFonts w:ascii="Calibri" w:eastAsia="Calibri" w:hAnsi="Calibri" w:cs="Calibri"/>
          <w:b/>
        </w:rPr>
        <w:t>Lead Applicant:</w:t>
      </w:r>
      <w:r>
        <w:t xml:space="preserve"> The </w:t>
      </w:r>
      <w:r w:rsidR="00A46068">
        <w:t>Receiving Organisation</w:t>
      </w:r>
      <w:r>
        <w:t xml:space="preserve"> warrants that the Lead Applicant(s) is an employee of the </w:t>
      </w:r>
      <w:r w:rsidR="00A46068">
        <w:t>Receiving Organisation</w:t>
      </w:r>
      <w:r w:rsidR="00013EDD">
        <w:t>.</w:t>
      </w:r>
      <w:r>
        <w:t xml:space="preserve"> If the Lead Applicant ceases to be an employee of the </w:t>
      </w:r>
      <w:r w:rsidR="00A46068">
        <w:t>Receiving Organisation</w:t>
      </w:r>
      <w:r>
        <w:t xml:space="preserve"> during the Access Period, the </w:t>
      </w:r>
      <w:r w:rsidR="00A46068">
        <w:t>Receiving Organisation</w:t>
      </w:r>
      <w:r>
        <w:t xml:space="preserve"> shall promptly notify </w:t>
      </w:r>
      <w:r w:rsidR="007914E9">
        <w:t>BTHFT</w:t>
      </w:r>
      <w:r>
        <w:t xml:space="preserve"> in writing. The </w:t>
      </w:r>
      <w:r w:rsidR="00A46068">
        <w:t>Receiving Organisation</w:t>
      </w:r>
      <w:r>
        <w:t xml:space="preserve"> shall be responsible for ensuring that the Lead Applicant is aware o</w:t>
      </w:r>
      <w:r>
        <w:rPr>
          <w:rFonts w:ascii="Calibri" w:eastAsia="Calibri" w:hAnsi="Calibri" w:cs="Calibri"/>
        </w:rPr>
        <w:t xml:space="preserve">f the </w:t>
      </w:r>
      <w:r w:rsidR="00A46068">
        <w:rPr>
          <w:rFonts w:ascii="Calibri" w:eastAsia="Calibri" w:hAnsi="Calibri" w:cs="Calibri"/>
        </w:rPr>
        <w:t>Receiving Organisation</w:t>
      </w:r>
      <w:r>
        <w:rPr>
          <w:rFonts w:ascii="Calibri" w:eastAsia="Calibri" w:hAnsi="Calibri" w:cs="Calibri"/>
        </w:rPr>
        <w:t xml:space="preserve">’s obligations under this </w:t>
      </w:r>
      <w:r>
        <w:t xml:space="preserve">agreement and shall at all times remain liable for the acts or omissions of the Lead Applicant. The </w:t>
      </w:r>
      <w:r w:rsidR="00A46068">
        <w:t>Receiving Organisation</w:t>
      </w:r>
      <w:r>
        <w:t xml:space="preserve"> shall ensure that the Lead Applicant(s) employment contract includes terms binding them to maintaining data confidentiality.</w:t>
      </w:r>
      <w:r>
        <w:rPr>
          <w:rFonts w:ascii="Calibri" w:eastAsia="Calibri" w:hAnsi="Calibri" w:cs="Calibri"/>
          <w:b/>
        </w:rPr>
        <w:t xml:space="preserve"> </w:t>
      </w:r>
    </w:p>
    <w:p w14:paraId="49CA4346" w14:textId="77777777" w:rsidR="00F05C73" w:rsidRDefault="00F74ED1">
      <w:pPr>
        <w:spacing w:after="13"/>
        <w:ind w:left="566"/>
      </w:pPr>
      <w:r>
        <w:rPr>
          <w:rFonts w:ascii="Calibri" w:eastAsia="Calibri" w:hAnsi="Calibri" w:cs="Calibri"/>
          <w:b/>
        </w:rPr>
        <w:t xml:space="preserve"> </w:t>
      </w:r>
    </w:p>
    <w:p w14:paraId="6F83C079" w14:textId="720CE4AD" w:rsidR="00F05C73" w:rsidRDefault="00F74ED1">
      <w:pPr>
        <w:numPr>
          <w:ilvl w:val="0"/>
          <w:numId w:val="2"/>
        </w:numPr>
        <w:ind w:hanging="566"/>
      </w:pPr>
      <w:r>
        <w:rPr>
          <w:rFonts w:ascii="Calibri" w:eastAsia="Calibri" w:hAnsi="Calibri" w:cs="Calibri"/>
          <w:b/>
        </w:rPr>
        <w:t>Authorised Research:</w:t>
      </w:r>
      <w:r>
        <w:t xml:space="preserve"> The </w:t>
      </w:r>
      <w:r w:rsidR="00A46068">
        <w:t>Receiving Organisation</w:t>
      </w:r>
      <w:r>
        <w:t xml:space="preserve"> warrants that appropriate ethical approval has been obtained for the Authorised Research (having regard to the nature of the Authorised Research and Applicable Law) and that, where the Authorised Research has not been approved by a recognised funder, the Authorised Research will be undertaken with the intention of generating new knowledge and understanding using rigorous scientific methods and with the intention of publishing the research findings in the scientific community for wider scientific and eventual public benefit. Results produced from the Authorised Research by the </w:t>
      </w:r>
      <w:r w:rsidR="00A46068">
        <w:t>Receiving Organisation</w:t>
      </w:r>
      <w:r>
        <w:t xml:space="preserve"> using </w:t>
      </w:r>
      <w:r w:rsidR="00204AC1">
        <w:t>BIB</w:t>
      </w:r>
      <w:r>
        <w:t xml:space="preserve"> data should be published in </w:t>
      </w:r>
      <w:r>
        <w:rPr>
          <w:rFonts w:ascii="Calibri" w:eastAsia="Calibri" w:hAnsi="Calibri" w:cs="Calibri"/>
        </w:rPr>
        <w:t>an ‘open access’ publication</w:t>
      </w:r>
      <w:r>
        <w:t xml:space="preserve"> wherever possible and always if </w:t>
      </w:r>
      <w:r w:rsidR="00871292">
        <w:t>required by the funder</w:t>
      </w:r>
      <w:r>
        <w:t xml:space="preserve">.  If the </w:t>
      </w:r>
      <w:r w:rsidR="00A46068">
        <w:t>Receiving Organisation</w:t>
      </w:r>
      <w:r>
        <w:t xml:space="preserve"> wishes to test any additional hypotheses which are outside the scope of the Authorised Research, it shall obtain the Executive</w:t>
      </w:r>
      <w:r>
        <w:rPr>
          <w:rFonts w:ascii="Calibri" w:eastAsia="Calibri" w:hAnsi="Calibri" w:cs="Calibri"/>
        </w:rPr>
        <w:t>’s prior written consent.</w:t>
      </w:r>
      <w:r>
        <w:rPr>
          <w:rFonts w:ascii="Calibri" w:eastAsia="Calibri" w:hAnsi="Calibri" w:cs="Calibri"/>
          <w:b/>
        </w:rPr>
        <w:t xml:space="preserve"> </w:t>
      </w:r>
    </w:p>
    <w:p w14:paraId="64378C17" w14:textId="6AF3AB8E" w:rsidR="00F05C73" w:rsidRDefault="00F74ED1" w:rsidP="00871292">
      <w:pPr>
        <w:spacing w:after="13"/>
        <w:ind w:left="720"/>
      </w:pPr>
      <w:r>
        <w:rPr>
          <w:rFonts w:ascii="Calibri" w:eastAsia="Calibri" w:hAnsi="Calibri" w:cs="Calibri"/>
          <w:b/>
        </w:rPr>
        <w:t xml:space="preserve"> </w:t>
      </w:r>
    </w:p>
    <w:p w14:paraId="42063096" w14:textId="15A47EB5" w:rsidR="00F05C73" w:rsidRDefault="00F74ED1">
      <w:pPr>
        <w:numPr>
          <w:ilvl w:val="0"/>
          <w:numId w:val="2"/>
        </w:numPr>
        <w:ind w:hanging="566"/>
      </w:pPr>
      <w:r>
        <w:rPr>
          <w:rFonts w:ascii="Calibri" w:eastAsia="Calibri" w:hAnsi="Calibri" w:cs="Calibri"/>
          <w:b/>
        </w:rPr>
        <w:t>Security and Custodianship:</w:t>
      </w:r>
      <w:r>
        <w:t xml:space="preserve"> The </w:t>
      </w:r>
      <w:r w:rsidR="00A46068">
        <w:t>Receiving Organisation</w:t>
      </w:r>
      <w:r>
        <w:t xml:space="preserve"> shall ensure that the Licensed Datasets are kept in a secure manner and only transferred in an encrypted form and shall use all reasonable security practices and systems as set out in Schedule 2 applicable to the use of the </w:t>
      </w:r>
      <w:r>
        <w:lastRenderedPageBreak/>
        <w:t xml:space="preserve">Licensed Datasets to prevent, and take prompt and proper remedial action against, unauthorised access, copying, modification, storage, reproduction, display or distribution of the Licensed Datasets. The </w:t>
      </w:r>
      <w:r w:rsidR="00A46068">
        <w:t>Receiving Organisation</w:t>
      </w:r>
      <w:r>
        <w:t xml:space="preserve"> agrees to com</w:t>
      </w:r>
      <w:r>
        <w:rPr>
          <w:rFonts w:ascii="Calibri" w:eastAsia="Calibri" w:hAnsi="Calibri" w:cs="Calibri"/>
        </w:rPr>
        <w:t xml:space="preserve">ply with </w:t>
      </w:r>
      <w:r w:rsidR="007914E9">
        <w:rPr>
          <w:rFonts w:ascii="Calibri" w:eastAsia="Calibri" w:hAnsi="Calibri" w:cs="Calibri"/>
        </w:rPr>
        <w:t>BTHFT</w:t>
      </w:r>
      <w:r>
        <w:rPr>
          <w:rFonts w:ascii="Calibri" w:eastAsia="Calibri" w:hAnsi="Calibri" w:cs="Calibri"/>
        </w:rPr>
        <w:t xml:space="preserve">’s reasonable directions regarding the security of the Licensed Datasets in addition to the </w:t>
      </w:r>
      <w:r w:rsidR="00A46068">
        <w:rPr>
          <w:rFonts w:ascii="Calibri" w:eastAsia="Calibri" w:hAnsi="Calibri" w:cs="Calibri"/>
        </w:rPr>
        <w:t>Receiving Organisation</w:t>
      </w:r>
      <w:r>
        <w:rPr>
          <w:rFonts w:ascii="Calibri" w:eastAsia="Calibri" w:hAnsi="Calibri" w:cs="Calibri"/>
        </w:rPr>
        <w:t xml:space="preserve">’s </w:t>
      </w:r>
      <w:r>
        <w:t xml:space="preserve">own data security policies. If the </w:t>
      </w:r>
      <w:r w:rsidR="00A46068">
        <w:t>Receiving Organisation</w:t>
      </w:r>
      <w:r>
        <w:t xml:space="preserve"> makes any amendment to their own data security policies it shall promptly notify </w:t>
      </w:r>
      <w:r w:rsidR="007914E9">
        <w:t>BTHFT</w:t>
      </w:r>
      <w:r>
        <w:t xml:space="preserve"> of this.</w:t>
      </w:r>
      <w:r>
        <w:rPr>
          <w:rFonts w:ascii="Calibri" w:eastAsia="Calibri" w:hAnsi="Calibri" w:cs="Calibri"/>
          <w:b/>
        </w:rPr>
        <w:t xml:space="preserve"> </w:t>
      </w:r>
    </w:p>
    <w:p w14:paraId="0282C95B" w14:textId="77777777" w:rsidR="00F05C73" w:rsidRDefault="00F74ED1">
      <w:pPr>
        <w:spacing w:after="13"/>
        <w:ind w:left="566"/>
      </w:pPr>
      <w:r>
        <w:rPr>
          <w:rFonts w:ascii="Calibri" w:eastAsia="Calibri" w:hAnsi="Calibri" w:cs="Calibri"/>
          <w:b/>
        </w:rPr>
        <w:t xml:space="preserve"> </w:t>
      </w:r>
    </w:p>
    <w:p w14:paraId="6E7359E2" w14:textId="58AE341E" w:rsidR="00F05C73" w:rsidRDefault="00F74ED1">
      <w:pPr>
        <w:numPr>
          <w:ilvl w:val="0"/>
          <w:numId w:val="2"/>
        </w:numPr>
        <w:ind w:hanging="566"/>
      </w:pPr>
      <w:r>
        <w:rPr>
          <w:rFonts w:ascii="Calibri" w:eastAsia="Calibri" w:hAnsi="Calibri" w:cs="Calibri"/>
          <w:b/>
        </w:rPr>
        <w:t>Data protection:</w:t>
      </w:r>
      <w:r>
        <w:t xml:space="preserve"> If and to the extent that the Licensed Datasets comprise personal data and/or sensitive personal data (</w:t>
      </w:r>
      <w:r>
        <w:rPr>
          <w:rFonts w:ascii="Calibri" w:eastAsia="Calibri" w:hAnsi="Calibri" w:cs="Calibri"/>
          <w:b/>
        </w:rPr>
        <w:t>Protected Data</w:t>
      </w:r>
      <w:r>
        <w:t xml:space="preserve">) within the meaning of the Data Protection Legislation the </w:t>
      </w:r>
      <w:r w:rsidR="00A46068">
        <w:t>Receiving Organisation</w:t>
      </w:r>
      <w:r>
        <w:t xml:space="preserve"> warrants that it will: </w:t>
      </w:r>
    </w:p>
    <w:p w14:paraId="5A4C2B4A" w14:textId="77777777" w:rsidR="00F05C73" w:rsidRDefault="00F74ED1">
      <w:pPr>
        <w:spacing w:after="13"/>
      </w:pPr>
      <w:r>
        <w:t xml:space="preserve"> </w:t>
      </w:r>
    </w:p>
    <w:p w14:paraId="37258DED" w14:textId="77777777" w:rsidR="00F05C73" w:rsidRDefault="00F74ED1">
      <w:pPr>
        <w:numPr>
          <w:ilvl w:val="1"/>
          <w:numId w:val="2"/>
        </w:numPr>
        <w:ind w:hanging="720"/>
      </w:pPr>
      <w:r>
        <w:t>process the Protected Data only to the extent and in such as manner as is necessary for the purposes of carrying out the Authorised Research and in accordance with all Applicable Law;</w:t>
      </w:r>
      <w:r>
        <w:rPr>
          <w:rFonts w:ascii="Calibri" w:eastAsia="Calibri" w:hAnsi="Calibri" w:cs="Calibri"/>
          <w:b/>
        </w:rPr>
        <w:t xml:space="preserve"> </w:t>
      </w:r>
    </w:p>
    <w:p w14:paraId="36C280FC" w14:textId="110ACED8" w:rsidR="00F05C73" w:rsidRDefault="00F74ED1">
      <w:pPr>
        <w:numPr>
          <w:ilvl w:val="1"/>
          <w:numId w:val="2"/>
        </w:numPr>
        <w:ind w:hanging="720"/>
      </w:pPr>
      <w:r>
        <w:rPr>
          <w:rFonts w:ascii="Calibri" w:eastAsia="Calibri" w:hAnsi="Calibri" w:cs="Calibri"/>
        </w:rPr>
        <w:t xml:space="preserve">comply with </w:t>
      </w:r>
      <w:r w:rsidR="007914E9">
        <w:rPr>
          <w:rFonts w:ascii="Calibri" w:eastAsia="Calibri" w:hAnsi="Calibri" w:cs="Calibri"/>
        </w:rPr>
        <w:t>BTHFT</w:t>
      </w:r>
      <w:r>
        <w:rPr>
          <w:rFonts w:ascii="Calibri" w:eastAsia="Calibri" w:hAnsi="Calibri" w:cs="Calibri"/>
        </w:rPr>
        <w:t xml:space="preserve">’s instructions for the processing of the Protected Data including any </w:t>
      </w:r>
      <w:r>
        <w:t xml:space="preserve">instructions for the anonymisation of the Protected Data or any request by </w:t>
      </w:r>
      <w:r w:rsidR="007914E9">
        <w:t>BTHFT</w:t>
      </w:r>
      <w:r>
        <w:t xml:space="preserve"> to amend, transfer or delete the Protected Data;</w:t>
      </w:r>
      <w:r>
        <w:rPr>
          <w:rFonts w:ascii="Calibri" w:eastAsia="Calibri" w:hAnsi="Calibri" w:cs="Calibri"/>
          <w:b/>
        </w:rPr>
        <w:t xml:space="preserve"> </w:t>
      </w:r>
    </w:p>
    <w:p w14:paraId="5EDB0CC0" w14:textId="6BF6F62E" w:rsidR="00F05C73" w:rsidRDefault="00F74ED1">
      <w:pPr>
        <w:numPr>
          <w:ilvl w:val="1"/>
          <w:numId w:val="2"/>
        </w:numPr>
        <w:ind w:hanging="720"/>
      </w:pPr>
      <w:r>
        <w:t xml:space="preserve">not transfer the Protected Data to any destination outside the European Economic Area without (i) </w:t>
      </w:r>
      <w:r w:rsidR="007914E9">
        <w:rPr>
          <w:rFonts w:ascii="Calibri" w:eastAsia="Calibri" w:hAnsi="Calibri" w:cs="Calibri"/>
        </w:rPr>
        <w:t>BTHFT</w:t>
      </w:r>
      <w:r>
        <w:rPr>
          <w:rFonts w:ascii="Calibri" w:eastAsia="Calibri" w:hAnsi="Calibri" w:cs="Calibri"/>
        </w:rPr>
        <w:t xml:space="preserve">’s prior written consent and subject to such further conditions as </w:t>
      </w:r>
      <w:r w:rsidR="007914E9">
        <w:rPr>
          <w:rFonts w:ascii="Calibri" w:eastAsia="Calibri" w:hAnsi="Calibri" w:cs="Calibri"/>
        </w:rPr>
        <w:t>BTHFT</w:t>
      </w:r>
      <w:r>
        <w:rPr>
          <w:rFonts w:ascii="Calibri" w:eastAsia="Calibri" w:hAnsi="Calibri" w:cs="Calibri"/>
        </w:rPr>
        <w:t xml:space="preserve"> may </w:t>
      </w:r>
      <w:r>
        <w:t>specify or (ii) an International Data Transfer Agreement being first entered into by the parties;</w:t>
      </w:r>
      <w:r>
        <w:rPr>
          <w:rFonts w:ascii="Calibri" w:eastAsia="Calibri" w:hAnsi="Calibri" w:cs="Calibri"/>
          <w:b/>
        </w:rPr>
        <w:t xml:space="preserve"> </w:t>
      </w:r>
    </w:p>
    <w:p w14:paraId="14850D5A" w14:textId="77777777" w:rsidR="00F05C73" w:rsidRDefault="00F74ED1">
      <w:pPr>
        <w:numPr>
          <w:ilvl w:val="1"/>
          <w:numId w:val="2"/>
        </w:numPr>
        <w:ind w:hanging="720"/>
      </w:pPr>
      <w:r>
        <w:t xml:space="preserve">take appropriate technical and organisational measures against the unauthorised loss or destruction of, or damage to, the Protected Data to ensure a level of security appropriate to the harm that might result from the same and the nature of the Protected Data to be protected. </w:t>
      </w:r>
    </w:p>
    <w:p w14:paraId="4F5DE2E0" w14:textId="77777777" w:rsidR="00F05C73" w:rsidRDefault="00F74ED1">
      <w:pPr>
        <w:numPr>
          <w:ilvl w:val="1"/>
          <w:numId w:val="2"/>
        </w:numPr>
        <w:ind w:hanging="720"/>
      </w:pPr>
      <w:r>
        <w:t xml:space="preserve">become the data controller (as defined in the Data Protection Legislation) in relation to any Protected Data received under this agreement. </w:t>
      </w:r>
    </w:p>
    <w:p w14:paraId="5FD59985" w14:textId="77777777" w:rsidR="00F05C73" w:rsidRDefault="00F74ED1">
      <w:pPr>
        <w:numPr>
          <w:ilvl w:val="1"/>
          <w:numId w:val="2"/>
        </w:numPr>
        <w:ind w:hanging="720"/>
      </w:pPr>
      <w:r>
        <w:t xml:space="preserve">comply with all other applicable laws, statutes, regulations and codes relating to anti-bribery and anticorruption including but not limited to the Bribery Act 2010 and not engage in any activity, practice or conduct which would constitute an offence under the Bribery Act 2010 if such activity practice or conduct had been carried out in the UK. </w:t>
      </w:r>
    </w:p>
    <w:p w14:paraId="257B58BB" w14:textId="77777777" w:rsidR="00347904" w:rsidRDefault="00347904" w:rsidP="00347904"/>
    <w:p w14:paraId="6389B49F" w14:textId="4D949E08" w:rsidR="00F05C73" w:rsidRDefault="00F74ED1" w:rsidP="00347904">
      <w:pPr>
        <w:numPr>
          <w:ilvl w:val="0"/>
          <w:numId w:val="2"/>
        </w:numPr>
        <w:ind w:hanging="566"/>
      </w:pPr>
      <w:r w:rsidRPr="00347904">
        <w:rPr>
          <w:rFonts w:ascii="Calibri" w:eastAsia="Calibri" w:hAnsi="Calibri" w:cs="Calibri"/>
          <w:b/>
        </w:rPr>
        <w:t>Complaints by data subjects:</w:t>
      </w:r>
      <w:r>
        <w:t xml:space="preserve"> If the </w:t>
      </w:r>
      <w:r w:rsidR="00A46068">
        <w:t>Receiving Organisation</w:t>
      </w:r>
      <w:r>
        <w:t xml:space="preserve"> receives any complaint, notice or communication which relates directly or indirectly to the processing of the Protected Data or to either party's compliance with Applicable Law</w:t>
      </w:r>
      <w:r w:rsidRPr="00347904">
        <w:rPr>
          <w:rFonts w:ascii="Calibri" w:eastAsia="Calibri" w:hAnsi="Calibri" w:cs="Calibri"/>
        </w:rPr>
        <w:t xml:space="preserve">, it shall immediately notify </w:t>
      </w:r>
      <w:r w:rsidR="00A828F6">
        <w:rPr>
          <w:rFonts w:ascii="Calibri" w:eastAsia="Calibri" w:hAnsi="Calibri" w:cs="Calibri"/>
        </w:rPr>
        <w:t>the Executive</w:t>
      </w:r>
      <w:r w:rsidRPr="00347904">
        <w:rPr>
          <w:rFonts w:ascii="Calibri" w:eastAsia="Calibri" w:hAnsi="Calibri" w:cs="Calibri"/>
        </w:rPr>
        <w:t xml:space="preserve"> (by email t</w:t>
      </w:r>
      <w:r w:rsidR="00A828F6">
        <w:rPr>
          <w:rFonts w:ascii="Calibri" w:eastAsia="Calibri" w:hAnsi="Calibri" w:cs="Calibri"/>
        </w:rPr>
        <w:t xml:space="preserve">o </w:t>
      </w:r>
      <w:hyperlink r:id="rId11" w:history="1">
        <w:r w:rsidR="00A828F6" w:rsidRPr="00F60099">
          <w:rPr>
            <w:rStyle w:val="Hyperlink"/>
            <w:rFonts w:ascii="Calibri" w:eastAsia="Calibri" w:hAnsi="Calibri" w:cs="Calibri"/>
          </w:rPr>
          <w:t>borninbradford@bthft.nhs.uk</w:t>
        </w:r>
      </w:hyperlink>
      <w:r w:rsidR="00A828F6">
        <w:rPr>
          <w:rFonts w:ascii="Calibri" w:eastAsia="Calibri" w:hAnsi="Calibri" w:cs="Calibri"/>
        </w:rPr>
        <w:t>)</w:t>
      </w:r>
      <w:r>
        <w:t xml:space="preserve"> and it shall provide </w:t>
      </w:r>
      <w:r w:rsidR="00A828F6">
        <w:t>the Executive</w:t>
      </w:r>
      <w:r>
        <w:t xml:space="preserve"> with full co-operation and assistance in relation to any such complaint, notice or communication. </w:t>
      </w:r>
    </w:p>
    <w:p w14:paraId="34E32EAD" w14:textId="77777777" w:rsidR="00F05C73" w:rsidRDefault="00F74ED1">
      <w:pPr>
        <w:spacing w:after="13"/>
        <w:ind w:left="566"/>
      </w:pPr>
      <w:r>
        <w:rPr>
          <w:rFonts w:ascii="Calibri" w:eastAsia="Calibri" w:hAnsi="Calibri" w:cs="Calibri"/>
          <w:b/>
        </w:rPr>
        <w:t xml:space="preserve"> </w:t>
      </w:r>
    </w:p>
    <w:p w14:paraId="0A826071" w14:textId="0DCD6520" w:rsidR="00F05C73" w:rsidRDefault="00F74ED1">
      <w:pPr>
        <w:numPr>
          <w:ilvl w:val="0"/>
          <w:numId w:val="2"/>
        </w:numPr>
        <w:ind w:hanging="566"/>
      </w:pPr>
      <w:r>
        <w:rPr>
          <w:rFonts w:ascii="Calibri" w:eastAsia="Calibri" w:hAnsi="Calibri" w:cs="Calibri"/>
          <w:b/>
        </w:rPr>
        <w:t>Notification:</w:t>
      </w:r>
      <w:r>
        <w:t xml:space="preserve"> If any Protected Data is lost or disclosed or destroyed or becomes damaged, corrupted, or unusable or the </w:t>
      </w:r>
      <w:r w:rsidR="00A46068">
        <w:t>Receiving Organisation</w:t>
      </w:r>
      <w:r>
        <w:t xml:space="preserve"> becomes aware of any misuse of the Licensed Datasets or any security breach that could compromise the security or integrity of the Licensed Datasets, the </w:t>
      </w:r>
      <w:r w:rsidR="00A46068">
        <w:t>Receiving Organisation</w:t>
      </w:r>
      <w:r>
        <w:t xml:space="preserve"> shall promptly notify the Executive </w:t>
      </w:r>
      <w:r w:rsidR="00A828F6" w:rsidRPr="00347904">
        <w:rPr>
          <w:rFonts w:ascii="Calibri" w:eastAsia="Calibri" w:hAnsi="Calibri" w:cs="Calibri"/>
        </w:rPr>
        <w:t>(by email t</w:t>
      </w:r>
      <w:r w:rsidR="00A828F6">
        <w:rPr>
          <w:rFonts w:ascii="Calibri" w:eastAsia="Calibri" w:hAnsi="Calibri" w:cs="Calibri"/>
        </w:rPr>
        <w:t xml:space="preserve">o </w:t>
      </w:r>
      <w:hyperlink r:id="rId12" w:history="1">
        <w:r w:rsidR="00A828F6" w:rsidRPr="00F60099">
          <w:rPr>
            <w:rStyle w:val="Hyperlink"/>
            <w:rFonts w:ascii="Calibri" w:eastAsia="Calibri" w:hAnsi="Calibri" w:cs="Calibri"/>
          </w:rPr>
          <w:t>borninbradford@bthft.nhs.uk</w:t>
        </w:r>
      </w:hyperlink>
      <w:r w:rsidR="00A828F6">
        <w:rPr>
          <w:rFonts w:ascii="Calibri" w:eastAsia="Calibri" w:hAnsi="Calibri" w:cs="Calibri"/>
        </w:rPr>
        <w:t xml:space="preserve">) </w:t>
      </w:r>
      <w:r>
        <w:rPr>
          <w:rFonts w:ascii="Calibri" w:eastAsia="Calibri" w:hAnsi="Calibri" w:cs="Calibri"/>
        </w:rPr>
        <w:t xml:space="preserve">and, at the </w:t>
      </w:r>
      <w:r w:rsidR="00A46068">
        <w:rPr>
          <w:rFonts w:ascii="Calibri" w:eastAsia="Calibri" w:hAnsi="Calibri" w:cs="Calibri"/>
        </w:rPr>
        <w:t>Receiving Organisation</w:t>
      </w:r>
      <w:r>
        <w:rPr>
          <w:rFonts w:ascii="Calibri" w:eastAsia="Calibri" w:hAnsi="Calibri" w:cs="Calibri"/>
        </w:rPr>
        <w:t xml:space="preserve">’s expense, fully cooperate </w:t>
      </w:r>
      <w:r>
        <w:t>with the Executive</w:t>
      </w:r>
      <w:r>
        <w:rPr>
          <w:rFonts w:ascii="Calibri" w:eastAsia="Calibri" w:hAnsi="Calibri" w:cs="Calibri"/>
        </w:rPr>
        <w:t xml:space="preserve">’s requests to remedy the issue as soon as reasonably practicable. The </w:t>
      </w:r>
      <w:r w:rsidR="00A46068">
        <w:rPr>
          <w:rFonts w:ascii="Calibri" w:eastAsia="Calibri" w:hAnsi="Calibri" w:cs="Calibri"/>
        </w:rPr>
        <w:t>Receiving Organisation</w:t>
      </w:r>
      <w:r>
        <w:rPr>
          <w:rFonts w:ascii="Calibri" w:eastAsia="Calibri" w:hAnsi="Calibri" w:cs="Calibri"/>
        </w:rPr>
        <w:t xml:space="preserve"> </w:t>
      </w:r>
      <w:r>
        <w:t xml:space="preserve">shall also promptly notify </w:t>
      </w:r>
      <w:r w:rsidR="007914E9">
        <w:t>BTHFT</w:t>
      </w:r>
      <w:r>
        <w:t xml:space="preserve"> if it finds any errors in any of the Licensed Datasets. </w:t>
      </w:r>
    </w:p>
    <w:p w14:paraId="46BA8E5D" w14:textId="77777777" w:rsidR="00F05C73" w:rsidRDefault="00F74ED1">
      <w:pPr>
        <w:spacing w:after="10"/>
        <w:ind w:left="566"/>
      </w:pPr>
      <w:r>
        <w:rPr>
          <w:rFonts w:ascii="Calibri" w:eastAsia="Calibri" w:hAnsi="Calibri" w:cs="Calibri"/>
          <w:b/>
        </w:rPr>
        <w:t xml:space="preserve"> </w:t>
      </w:r>
    </w:p>
    <w:p w14:paraId="7DF47247" w14:textId="1BAD3653" w:rsidR="00F05C73" w:rsidRDefault="00F74ED1">
      <w:pPr>
        <w:numPr>
          <w:ilvl w:val="0"/>
          <w:numId w:val="2"/>
        </w:numPr>
        <w:ind w:hanging="566"/>
      </w:pPr>
      <w:r>
        <w:rPr>
          <w:rFonts w:ascii="Calibri" w:eastAsia="Calibri" w:hAnsi="Calibri" w:cs="Calibri"/>
          <w:b/>
        </w:rPr>
        <w:t>Audit:</w:t>
      </w:r>
      <w:r>
        <w:t xml:space="preserve"> The </w:t>
      </w:r>
      <w:r w:rsidR="00A46068">
        <w:t>Receiving Organisation</w:t>
      </w:r>
      <w:r>
        <w:t xml:space="preserve"> shall keep detailed, accurate and up-to-date records (</w:t>
      </w:r>
      <w:r>
        <w:rPr>
          <w:rFonts w:ascii="Calibri" w:eastAsia="Calibri" w:hAnsi="Calibri" w:cs="Calibri"/>
          <w:b/>
        </w:rPr>
        <w:t>Records</w:t>
      </w:r>
      <w:r>
        <w:t xml:space="preserve">) sufficient to </w:t>
      </w:r>
      <w:r>
        <w:rPr>
          <w:rFonts w:ascii="Calibri" w:eastAsia="Calibri" w:hAnsi="Calibri" w:cs="Calibri"/>
        </w:rPr>
        <w:t xml:space="preserve">enable </w:t>
      </w:r>
      <w:r w:rsidR="007914E9">
        <w:rPr>
          <w:rFonts w:ascii="Calibri" w:eastAsia="Calibri" w:hAnsi="Calibri" w:cs="Calibri"/>
        </w:rPr>
        <w:t>BTHFT</w:t>
      </w:r>
      <w:r>
        <w:rPr>
          <w:rFonts w:ascii="Calibri" w:eastAsia="Calibri" w:hAnsi="Calibri" w:cs="Calibri"/>
        </w:rPr>
        <w:t xml:space="preserve"> (or its licensors) to verify the </w:t>
      </w:r>
      <w:r w:rsidR="00A46068">
        <w:rPr>
          <w:rFonts w:ascii="Calibri" w:eastAsia="Calibri" w:hAnsi="Calibri" w:cs="Calibri"/>
        </w:rPr>
        <w:t>Receiving Organisation</w:t>
      </w:r>
      <w:r>
        <w:rPr>
          <w:rFonts w:ascii="Calibri" w:eastAsia="Calibri" w:hAnsi="Calibri" w:cs="Calibri"/>
        </w:rPr>
        <w:t xml:space="preserve">’s compliance with the terms of this </w:t>
      </w:r>
      <w:r>
        <w:t xml:space="preserve">agreement. </w:t>
      </w:r>
    </w:p>
    <w:p w14:paraId="25D10E99" w14:textId="77777777" w:rsidR="00F05C73" w:rsidRDefault="00F74ED1">
      <w:pPr>
        <w:spacing w:after="13"/>
        <w:ind w:left="566"/>
      </w:pPr>
      <w:r>
        <w:rPr>
          <w:rFonts w:ascii="Calibri" w:eastAsia="Calibri" w:hAnsi="Calibri" w:cs="Calibri"/>
          <w:b/>
        </w:rPr>
        <w:t xml:space="preserve"> </w:t>
      </w:r>
    </w:p>
    <w:p w14:paraId="3CC4FC16" w14:textId="1B95A4F7" w:rsidR="00F05C73" w:rsidRDefault="00F74ED1" w:rsidP="00113BB3">
      <w:pPr>
        <w:numPr>
          <w:ilvl w:val="0"/>
          <w:numId w:val="2"/>
        </w:numPr>
        <w:ind w:hanging="566"/>
      </w:pPr>
      <w:r>
        <w:rPr>
          <w:rFonts w:ascii="Calibri" w:eastAsia="Calibri" w:hAnsi="Calibri" w:cs="Calibri"/>
          <w:b/>
        </w:rPr>
        <w:t>Confidentiality</w:t>
      </w:r>
      <w:r>
        <w:t xml:space="preserve">: The </w:t>
      </w:r>
      <w:r w:rsidR="00A46068">
        <w:t>Receiving Organisation</w:t>
      </w:r>
      <w:r>
        <w:t xml:space="preserve"> shall keep the Licensed Datasets confidential and</w:t>
      </w:r>
      <w:r w:rsidR="00A828F6">
        <w:t xml:space="preserve"> undertakes</w:t>
      </w:r>
      <w:r>
        <w:t xml:space="preserve"> not to use or disclose any Protected Data in such a manner as to compromise or otherwise infringe the rights of any data subject in relation to such Protected Data. The </w:t>
      </w:r>
      <w:r w:rsidR="00A46068">
        <w:t>Receiving Organisation</w:t>
      </w:r>
      <w:r>
        <w:t xml:space="preserve"> hereby undertakes to </w:t>
      </w:r>
      <w:r w:rsidR="007914E9">
        <w:t>BTHFT</w:t>
      </w:r>
      <w:r>
        <w:t xml:space="preserve"> that it shall procure that its employees, agents and students, investigator(s) shall: </w:t>
      </w:r>
    </w:p>
    <w:p w14:paraId="6C07A517" w14:textId="151F8CD5" w:rsidR="00F05C73" w:rsidRDefault="00F74ED1">
      <w:pPr>
        <w:numPr>
          <w:ilvl w:val="1"/>
          <w:numId w:val="2"/>
        </w:numPr>
        <w:ind w:hanging="720"/>
      </w:pPr>
      <w:r>
        <w:t xml:space="preserve">keep confidential all Licensed Datasets and other information of a confidential nature (whether written or oral) concerning this agreement and the business affairs of </w:t>
      </w:r>
      <w:r w:rsidR="00204AC1">
        <w:t>BIB</w:t>
      </w:r>
      <w:r>
        <w:t xml:space="preserve"> and </w:t>
      </w:r>
      <w:r w:rsidR="007914E9">
        <w:t>BTHFT</w:t>
      </w:r>
      <w:r>
        <w:t xml:space="preserve"> that it shall have obtained or received as a result of the discussions leading up to or entering into or performance of this (the "Confidential Information"); </w:t>
      </w:r>
    </w:p>
    <w:p w14:paraId="7C556008" w14:textId="512C6011" w:rsidR="00F05C73" w:rsidRDefault="00F74ED1">
      <w:pPr>
        <w:numPr>
          <w:ilvl w:val="1"/>
          <w:numId w:val="2"/>
        </w:numPr>
        <w:ind w:hanging="720"/>
      </w:pPr>
      <w:r>
        <w:t xml:space="preserve">not without the prior written consent of </w:t>
      </w:r>
      <w:r w:rsidR="007914E9">
        <w:t>BTHFT</w:t>
      </w:r>
      <w:r>
        <w:t xml:space="preserve"> disclose the Licensed Datasets, or the Confidential Information either in whole or in part to any other person save to the Lead Applicant and Collaborators or its employees, agents and students involved in the implementation or evaluation of the Authorised Research who have a need to know the same for the performance of their </w:t>
      </w:r>
      <w:r w:rsidR="00587409">
        <w:t>duties</w:t>
      </w:r>
      <w:r>
        <w:t xml:space="preserve">; </w:t>
      </w:r>
    </w:p>
    <w:p w14:paraId="72521CB2" w14:textId="5AC84AD4" w:rsidR="00F05C73" w:rsidRDefault="00F74ED1">
      <w:pPr>
        <w:numPr>
          <w:ilvl w:val="1"/>
          <w:numId w:val="2"/>
        </w:numPr>
        <w:ind w:hanging="720"/>
      </w:pPr>
      <w:r>
        <w:t>that prior to preparing results of the Authorised Research for publication and dissemination beyond the Lead Applicant and Collaborator</w:t>
      </w:r>
      <w:r w:rsidR="00EB1936">
        <w:t>(s)</w:t>
      </w:r>
      <w:r>
        <w:t>, that the Lead Applicant and Collaborator</w:t>
      </w:r>
      <w:r w:rsidR="00EB1936">
        <w:t>(s)</w:t>
      </w:r>
      <w:r>
        <w:t xml:space="preserve"> will consider risks to the confidentiality of the Study Participants and to ensure that the results are transformed and presented in such a way that the risk of the Study Participants identity being disclosed is reduced to the point where the information is effectively anonymous; and </w:t>
      </w:r>
    </w:p>
    <w:p w14:paraId="5323DA5D" w14:textId="77777777" w:rsidR="00F05C73" w:rsidRDefault="00F74ED1">
      <w:pPr>
        <w:numPr>
          <w:ilvl w:val="1"/>
          <w:numId w:val="2"/>
        </w:numPr>
        <w:ind w:hanging="720"/>
      </w:pPr>
      <w:r>
        <w:t xml:space="preserve">to use the Confidential Information solely in connection with the implementation of the Authorised Research and not otherwise for its own benefit or the benefit of any third party. </w:t>
      </w:r>
    </w:p>
    <w:p w14:paraId="56924F94" w14:textId="77777777" w:rsidR="009671E9" w:rsidRDefault="00F74ED1" w:rsidP="009671E9">
      <w:pPr>
        <w:numPr>
          <w:ilvl w:val="1"/>
          <w:numId w:val="2"/>
        </w:numPr>
        <w:ind w:hanging="720"/>
      </w:pPr>
      <w:r>
        <w:t>The provisions of this Clause 1</w:t>
      </w:r>
      <w:r w:rsidR="004A0A93">
        <w:t>2</w:t>
      </w:r>
      <w:r>
        <w:t xml:space="preserve"> shall not apply to the whole or any part of the </w:t>
      </w:r>
      <w:r w:rsidR="00824DF9">
        <w:t>C</w:t>
      </w:r>
      <w:r>
        <w:t>onfidential Information to the extent that it can be shown by the receiving Party to be:</w:t>
      </w:r>
    </w:p>
    <w:p w14:paraId="553ADEDD" w14:textId="20617A02" w:rsidR="00F05C73" w:rsidRDefault="00F74ED1" w:rsidP="009671E9">
      <w:pPr>
        <w:numPr>
          <w:ilvl w:val="2"/>
          <w:numId w:val="2"/>
        </w:numPr>
        <w:ind w:left="1985" w:hanging="425"/>
      </w:pPr>
      <w:r>
        <w:t xml:space="preserve">known to the receiving Party prior to the date of this agreement and not obtained directly or indirectly from the other Party; or </w:t>
      </w:r>
    </w:p>
    <w:p w14:paraId="1A930188" w14:textId="77777777" w:rsidR="009671E9" w:rsidRDefault="00F74ED1" w:rsidP="009671E9">
      <w:pPr>
        <w:numPr>
          <w:ilvl w:val="2"/>
          <w:numId w:val="2"/>
        </w:numPr>
        <w:ind w:left="1985" w:hanging="425"/>
      </w:pPr>
      <w:r>
        <w:t xml:space="preserve">obtained from a third party who lawfully possesses such Confidential Information which has not been obtained in breach of a duty of confidence owed to any Party by any person; or </w:t>
      </w:r>
    </w:p>
    <w:p w14:paraId="055EE53D" w14:textId="12756CBE" w:rsidR="009671E9" w:rsidRDefault="00F74ED1" w:rsidP="009671E9">
      <w:pPr>
        <w:numPr>
          <w:ilvl w:val="2"/>
          <w:numId w:val="2"/>
        </w:numPr>
        <w:ind w:left="1985" w:hanging="425"/>
      </w:pPr>
      <w:r>
        <w:t>in the public domain in the form in which it is possessed by the other Party other than as a result of a breach of a duty of confidence owed to such other Party by any person; or</w:t>
      </w:r>
    </w:p>
    <w:p w14:paraId="4E8495E2" w14:textId="618932F3" w:rsidR="00F05C73" w:rsidRDefault="00F74ED1" w:rsidP="009671E9">
      <w:pPr>
        <w:numPr>
          <w:ilvl w:val="2"/>
          <w:numId w:val="2"/>
        </w:numPr>
        <w:ind w:left="1985" w:hanging="425"/>
      </w:pPr>
      <w:r>
        <w:lastRenderedPageBreak/>
        <w:t xml:space="preserve">required to be disclosed by legal process, law or regulatory authority. </w:t>
      </w:r>
    </w:p>
    <w:p w14:paraId="4F76D186" w14:textId="1AC6D425" w:rsidR="00F05C73" w:rsidRDefault="00F74ED1">
      <w:pPr>
        <w:numPr>
          <w:ilvl w:val="1"/>
          <w:numId w:val="2"/>
        </w:numPr>
        <w:ind w:hanging="720"/>
      </w:pPr>
      <w:r>
        <w:t xml:space="preserve">The </w:t>
      </w:r>
      <w:r w:rsidR="00A46068">
        <w:t>Receiving Organisation</w:t>
      </w:r>
      <w:r>
        <w:t xml:space="preserve"> hereby undertakes to </w:t>
      </w:r>
      <w:r w:rsidR="007914E9">
        <w:t>BTHFT</w:t>
      </w:r>
      <w:r>
        <w:t xml:space="preserve"> to make all relevant employees, agents and students aware of the confidentiality of the Confidential Information and provisions of this Clause 1</w:t>
      </w:r>
      <w:r w:rsidR="004A0A93">
        <w:t>2</w:t>
      </w:r>
      <w:r>
        <w:t xml:space="preserve"> and Schedule 2 and without limiting the foregoing to ensure compliance by such employees, agents and students with the provisions of this Clause 1</w:t>
      </w:r>
      <w:r w:rsidR="004A0A93">
        <w:t>2</w:t>
      </w:r>
      <w:r>
        <w:t xml:space="preserve">. </w:t>
      </w:r>
    </w:p>
    <w:p w14:paraId="1C50D407" w14:textId="77777777" w:rsidR="00F05C73" w:rsidRDefault="00F74ED1">
      <w:pPr>
        <w:spacing w:after="0"/>
        <w:ind w:left="566"/>
      </w:pPr>
      <w:r>
        <w:rPr>
          <w:rFonts w:ascii="Calibri" w:eastAsia="Calibri" w:hAnsi="Calibri" w:cs="Calibri"/>
          <w:b/>
        </w:rPr>
        <w:t xml:space="preserve"> </w:t>
      </w:r>
    </w:p>
    <w:p w14:paraId="63E2DBEB" w14:textId="4D490965" w:rsidR="00F05C73" w:rsidRDefault="00F74ED1">
      <w:pPr>
        <w:numPr>
          <w:ilvl w:val="0"/>
          <w:numId w:val="2"/>
        </w:numPr>
        <w:ind w:hanging="566"/>
      </w:pPr>
      <w:r>
        <w:rPr>
          <w:rFonts w:ascii="Calibri" w:eastAsia="Calibri" w:hAnsi="Calibri" w:cs="Calibri"/>
          <w:b/>
        </w:rPr>
        <w:t>Disclaimer:</w:t>
      </w:r>
      <w:r>
        <w:t xml:space="preserve"> </w:t>
      </w:r>
      <w:r w:rsidR="007914E9">
        <w:t>BTHFT</w:t>
      </w:r>
      <w:r>
        <w:t xml:space="preserve"> expressly does not guarantee, represent or warrant that:</w:t>
      </w:r>
      <w:r>
        <w:rPr>
          <w:rFonts w:ascii="Calibri" w:eastAsia="Calibri" w:hAnsi="Calibri" w:cs="Calibri"/>
          <w:b/>
        </w:rPr>
        <w:t xml:space="preserve"> </w:t>
      </w:r>
    </w:p>
    <w:p w14:paraId="111BBC3D" w14:textId="77777777" w:rsidR="00F05C73" w:rsidRDefault="00F74ED1">
      <w:pPr>
        <w:spacing w:after="13"/>
      </w:pPr>
      <w:r>
        <w:rPr>
          <w:rFonts w:ascii="Calibri" w:eastAsia="Calibri" w:hAnsi="Calibri" w:cs="Calibri"/>
          <w:b/>
        </w:rPr>
        <w:t xml:space="preserve"> </w:t>
      </w:r>
    </w:p>
    <w:p w14:paraId="701118EB" w14:textId="0FFA6006" w:rsidR="00F05C73" w:rsidRDefault="00F74ED1">
      <w:pPr>
        <w:numPr>
          <w:ilvl w:val="1"/>
          <w:numId w:val="2"/>
        </w:numPr>
        <w:ind w:hanging="720"/>
      </w:pPr>
      <w:r>
        <w:t>the Licensed Dataset</w:t>
      </w:r>
      <w:r w:rsidR="00472D7B">
        <w:t>s</w:t>
      </w:r>
      <w:r>
        <w:t xml:space="preserve"> are accurate, complete, reliable or secure;</w:t>
      </w:r>
      <w:r>
        <w:rPr>
          <w:rFonts w:ascii="Calibri" w:eastAsia="Calibri" w:hAnsi="Calibri" w:cs="Calibri"/>
          <w:b/>
        </w:rPr>
        <w:t xml:space="preserve"> </w:t>
      </w:r>
    </w:p>
    <w:p w14:paraId="5AF5E861" w14:textId="13427CE1" w:rsidR="00F05C73" w:rsidRDefault="00F74ED1">
      <w:pPr>
        <w:numPr>
          <w:ilvl w:val="1"/>
          <w:numId w:val="2"/>
        </w:numPr>
        <w:ind w:hanging="720"/>
      </w:pPr>
      <w:r>
        <w:t>the Licensed Dataset</w:t>
      </w:r>
      <w:r w:rsidR="00472D7B">
        <w:t>s</w:t>
      </w:r>
      <w:r>
        <w:t xml:space="preserve"> are of satisfactory quality or fit for any particular purpose or capable of being used in connection with the Authorised Research; or</w:t>
      </w:r>
      <w:r>
        <w:rPr>
          <w:rFonts w:ascii="Calibri" w:eastAsia="Calibri" w:hAnsi="Calibri" w:cs="Calibri"/>
          <w:b/>
        </w:rPr>
        <w:t xml:space="preserve"> </w:t>
      </w:r>
    </w:p>
    <w:p w14:paraId="26E0B891" w14:textId="1B02E315" w:rsidR="00F05C73" w:rsidRDefault="00F74ED1">
      <w:pPr>
        <w:numPr>
          <w:ilvl w:val="1"/>
          <w:numId w:val="2"/>
        </w:numPr>
        <w:ind w:hanging="720"/>
      </w:pPr>
      <w:r>
        <w:t>use of the Licensed Dataset</w:t>
      </w:r>
      <w:r w:rsidR="00472D7B">
        <w:t>s</w:t>
      </w:r>
      <w:r>
        <w:t xml:space="preserve"> will be free from infringement of third-party intellectual property rights, and other third-party property rights.  The </w:t>
      </w:r>
      <w:r w:rsidR="00A46068">
        <w:t>Receiving Organisation</w:t>
      </w:r>
      <w:r>
        <w:t xml:space="preserve"> shall therefore be responsible for any claims </w:t>
      </w:r>
      <w:r>
        <w:rPr>
          <w:rFonts w:ascii="Calibri" w:eastAsia="Calibri" w:hAnsi="Calibri" w:cs="Calibri"/>
        </w:rPr>
        <w:t xml:space="preserve">arising out of or in connection with the </w:t>
      </w:r>
      <w:r w:rsidR="00A46068">
        <w:rPr>
          <w:rFonts w:ascii="Calibri" w:eastAsia="Calibri" w:hAnsi="Calibri" w:cs="Calibri"/>
        </w:rPr>
        <w:t>Receiving Organisation</w:t>
      </w:r>
      <w:r>
        <w:rPr>
          <w:rFonts w:ascii="Calibri" w:eastAsia="Calibri" w:hAnsi="Calibri" w:cs="Calibri"/>
        </w:rPr>
        <w:t>’s use of the Licensed Dataset</w:t>
      </w:r>
      <w:r w:rsidR="00472D7B">
        <w:rPr>
          <w:rFonts w:ascii="Calibri" w:eastAsia="Calibri" w:hAnsi="Calibri" w:cs="Calibri"/>
        </w:rPr>
        <w:t>s</w:t>
      </w:r>
      <w:r>
        <w:rPr>
          <w:rFonts w:ascii="Calibri" w:eastAsia="Calibri" w:hAnsi="Calibri" w:cs="Calibri"/>
        </w:rPr>
        <w:t xml:space="preserve"> except </w:t>
      </w:r>
      <w:r>
        <w:t xml:space="preserve">to the extent that such claims have arisen out of or in connection with any negligence or wilful default of </w:t>
      </w:r>
      <w:r w:rsidR="007914E9">
        <w:t>BTHFT</w:t>
      </w:r>
      <w:r>
        <w:t>.</w:t>
      </w:r>
      <w:r>
        <w:rPr>
          <w:rFonts w:ascii="Calibri" w:eastAsia="Calibri" w:hAnsi="Calibri" w:cs="Calibri"/>
          <w:b/>
          <w:color w:val="FF0000"/>
        </w:rPr>
        <w:t xml:space="preserve"> </w:t>
      </w:r>
    </w:p>
    <w:p w14:paraId="161558A9" w14:textId="77777777" w:rsidR="00F05C73" w:rsidRDefault="00F74ED1">
      <w:pPr>
        <w:ind w:left="551"/>
      </w:pPr>
      <w:r>
        <w:t xml:space="preserve">Except as expressly stated in this agreement, all warranties, conditions and terms, whether express or implied by statute, common law or otherwise are hereby excluded to the extent permitted by law </w:t>
      </w:r>
    </w:p>
    <w:p w14:paraId="4BF717E5" w14:textId="77777777" w:rsidR="00F05C73" w:rsidRDefault="00F74ED1">
      <w:pPr>
        <w:spacing w:after="12"/>
        <w:ind w:left="566"/>
      </w:pPr>
      <w:r>
        <w:rPr>
          <w:rFonts w:ascii="Calibri" w:eastAsia="Calibri" w:hAnsi="Calibri" w:cs="Calibri"/>
          <w:b/>
        </w:rPr>
        <w:t xml:space="preserve"> </w:t>
      </w:r>
    </w:p>
    <w:p w14:paraId="615C977D" w14:textId="77777777" w:rsidR="00F05C73" w:rsidRDefault="00F74ED1">
      <w:pPr>
        <w:numPr>
          <w:ilvl w:val="0"/>
          <w:numId w:val="2"/>
        </w:numPr>
        <w:spacing w:after="0"/>
        <w:ind w:hanging="566"/>
      </w:pPr>
      <w:r>
        <w:rPr>
          <w:rFonts w:ascii="Calibri" w:eastAsia="Calibri" w:hAnsi="Calibri" w:cs="Calibri"/>
          <w:b/>
        </w:rPr>
        <w:t>Limitation of liability:</w:t>
      </w:r>
      <w:r>
        <w:t xml:space="preserve"> </w:t>
      </w:r>
      <w:r>
        <w:rPr>
          <w:rFonts w:ascii="Calibri" w:eastAsia="Calibri" w:hAnsi="Calibri" w:cs="Calibri"/>
          <w:b/>
        </w:rPr>
        <w:t xml:space="preserve"> </w:t>
      </w:r>
    </w:p>
    <w:p w14:paraId="382C7472" w14:textId="77777777" w:rsidR="00F05C73" w:rsidRDefault="00F74ED1">
      <w:pPr>
        <w:spacing w:after="13"/>
        <w:ind w:left="566"/>
      </w:pPr>
      <w:r>
        <w:t xml:space="preserve"> </w:t>
      </w:r>
    </w:p>
    <w:p w14:paraId="1C7C11AF" w14:textId="6CC20F4D" w:rsidR="00F05C73" w:rsidRDefault="007914E9">
      <w:pPr>
        <w:numPr>
          <w:ilvl w:val="1"/>
          <w:numId w:val="2"/>
        </w:numPr>
        <w:ind w:hanging="720"/>
      </w:pPr>
      <w:r>
        <w:t>BTHFT</w:t>
      </w:r>
      <w:r w:rsidR="00F74ED1">
        <w:t xml:space="preserve"> does not exclude or limit its liability to the </w:t>
      </w:r>
      <w:r w:rsidR="00A46068">
        <w:t>Receiving Organisation</w:t>
      </w:r>
      <w:r w:rsidR="00F74ED1">
        <w:t xml:space="preserve"> for death or personal injury arising from its negligence or for any other matter in respect of which it would be unlawful for </w:t>
      </w:r>
      <w:r>
        <w:t>BTHFT</w:t>
      </w:r>
      <w:r w:rsidR="00F74ED1">
        <w:t xml:space="preserve"> to exclude or limit its liability.</w:t>
      </w:r>
      <w:r w:rsidR="00F74ED1">
        <w:rPr>
          <w:rFonts w:ascii="Calibri" w:eastAsia="Calibri" w:hAnsi="Calibri" w:cs="Calibri"/>
          <w:b/>
        </w:rPr>
        <w:t xml:space="preserve"> </w:t>
      </w:r>
    </w:p>
    <w:p w14:paraId="5EBF1900" w14:textId="25796274" w:rsidR="00F05C73" w:rsidRDefault="00F74ED1">
      <w:pPr>
        <w:numPr>
          <w:ilvl w:val="1"/>
          <w:numId w:val="2"/>
        </w:numPr>
        <w:spacing w:after="1" w:line="241" w:lineRule="auto"/>
        <w:ind w:hanging="720"/>
      </w:pPr>
      <w:r>
        <w:t>Subject to Clause 1</w:t>
      </w:r>
      <w:r w:rsidR="004A0A93">
        <w:t>4</w:t>
      </w:r>
      <w:r>
        <w:rPr>
          <w:rFonts w:ascii="Calibri" w:eastAsia="Calibri" w:hAnsi="Calibri" w:cs="Calibri"/>
        </w:rPr>
        <w:t xml:space="preserve">(a), </w:t>
      </w:r>
      <w:r w:rsidR="007914E9">
        <w:rPr>
          <w:rFonts w:ascii="Calibri" w:eastAsia="Calibri" w:hAnsi="Calibri" w:cs="Calibri"/>
        </w:rPr>
        <w:t>BTHFT</w:t>
      </w:r>
      <w:r>
        <w:rPr>
          <w:rFonts w:ascii="Calibri" w:eastAsia="Calibri" w:hAnsi="Calibri" w:cs="Calibri"/>
        </w:rPr>
        <w:t xml:space="preserve">’s total aggregate liability in contract, tort (including negligence </w:t>
      </w:r>
      <w:r>
        <w:t>and breach of statutory duty howsoever arising), misrepresentation (whether innocent or negligent), restitution or otherwise, arising in connection with this agreement shall in all circumstances be limited to £1,000 (one thousand pounds).</w:t>
      </w:r>
      <w:r>
        <w:rPr>
          <w:color w:val="FF0000"/>
        </w:rPr>
        <w:t xml:space="preserve"> </w:t>
      </w:r>
      <w:r>
        <w:rPr>
          <w:rFonts w:ascii="Calibri" w:eastAsia="Calibri" w:hAnsi="Calibri" w:cs="Calibri"/>
          <w:b/>
          <w:color w:val="FF0000"/>
        </w:rPr>
        <w:t xml:space="preserve"> </w:t>
      </w:r>
    </w:p>
    <w:p w14:paraId="642EF834" w14:textId="77777777" w:rsidR="00F05C73" w:rsidRDefault="00F74ED1">
      <w:pPr>
        <w:spacing w:after="10"/>
        <w:ind w:left="1133"/>
      </w:pPr>
      <w:r>
        <w:t xml:space="preserve"> </w:t>
      </w:r>
    </w:p>
    <w:p w14:paraId="78F4CF9C" w14:textId="3F6F5D2B" w:rsidR="00F05C73" w:rsidRDefault="00F74ED1">
      <w:pPr>
        <w:numPr>
          <w:ilvl w:val="0"/>
          <w:numId w:val="2"/>
        </w:numPr>
        <w:ind w:hanging="566"/>
      </w:pPr>
      <w:r>
        <w:rPr>
          <w:rFonts w:ascii="Calibri" w:eastAsia="Calibri" w:hAnsi="Calibri" w:cs="Calibri"/>
          <w:b/>
        </w:rPr>
        <w:t>Termination:</w:t>
      </w:r>
      <w:r>
        <w:t xml:space="preserve"> This agreement and the licence granted to the </w:t>
      </w:r>
      <w:r w:rsidR="00A46068">
        <w:t>Receiving Organisation</w:t>
      </w:r>
      <w:r>
        <w:t xml:space="preserve"> under this agreement shall terminate automatically upon expiry of the Access Period subject to earlier termination by:</w:t>
      </w:r>
      <w:r>
        <w:rPr>
          <w:rFonts w:ascii="Calibri" w:eastAsia="Calibri" w:hAnsi="Calibri" w:cs="Calibri"/>
          <w:b/>
        </w:rPr>
        <w:t xml:space="preserve"> </w:t>
      </w:r>
    </w:p>
    <w:p w14:paraId="62CD8303" w14:textId="77777777" w:rsidR="00F05C73" w:rsidRDefault="00F74ED1">
      <w:pPr>
        <w:spacing w:after="13"/>
        <w:ind w:left="566"/>
      </w:pPr>
      <w:r>
        <w:rPr>
          <w:rFonts w:ascii="Calibri" w:eastAsia="Calibri" w:hAnsi="Calibri" w:cs="Calibri"/>
          <w:b/>
        </w:rPr>
        <w:t xml:space="preserve"> </w:t>
      </w:r>
    </w:p>
    <w:p w14:paraId="0128074D" w14:textId="52E16B3E" w:rsidR="00F05C73" w:rsidRDefault="00F74ED1">
      <w:pPr>
        <w:numPr>
          <w:ilvl w:val="1"/>
          <w:numId w:val="2"/>
        </w:numPr>
        <w:ind w:hanging="720"/>
      </w:pPr>
      <w:r>
        <w:t xml:space="preserve">the </w:t>
      </w:r>
      <w:r w:rsidR="00A46068">
        <w:t>Receiving Organisation</w:t>
      </w:r>
      <w:r>
        <w:t xml:space="preserve"> to </w:t>
      </w:r>
      <w:r w:rsidR="007914E9">
        <w:t>BTHFT</w:t>
      </w:r>
      <w:r>
        <w:t xml:space="preserve"> at any time in writing;</w:t>
      </w:r>
      <w:r>
        <w:rPr>
          <w:rFonts w:ascii="Calibri" w:eastAsia="Calibri" w:hAnsi="Calibri" w:cs="Calibri"/>
          <w:b/>
        </w:rPr>
        <w:t xml:space="preserve"> </w:t>
      </w:r>
    </w:p>
    <w:p w14:paraId="77ACB617" w14:textId="5C115764" w:rsidR="00F05C73" w:rsidRDefault="007914E9">
      <w:pPr>
        <w:numPr>
          <w:ilvl w:val="1"/>
          <w:numId w:val="2"/>
        </w:numPr>
        <w:ind w:hanging="720"/>
      </w:pPr>
      <w:r>
        <w:t>BTHFT</w:t>
      </w:r>
      <w:r w:rsidR="00F74ED1">
        <w:t xml:space="preserve"> in the event that the Lead Applicant ceases to be an employee of the </w:t>
      </w:r>
      <w:r w:rsidR="00A46068">
        <w:t>Receiving Organisation</w:t>
      </w:r>
      <w:r w:rsidR="00F74ED1">
        <w:t xml:space="preserve"> and the </w:t>
      </w:r>
      <w:r w:rsidR="00A46068">
        <w:t>Receiving Organisation</w:t>
      </w:r>
      <w:r w:rsidR="00F74ED1">
        <w:t xml:space="preserve"> is unable to procure a replacement acceptable to the Executive;</w:t>
      </w:r>
      <w:r w:rsidR="00F74ED1">
        <w:rPr>
          <w:rFonts w:ascii="Calibri" w:eastAsia="Calibri" w:hAnsi="Calibri" w:cs="Calibri"/>
          <w:b/>
        </w:rPr>
        <w:t xml:space="preserve"> </w:t>
      </w:r>
    </w:p>
    <w:p w14:paraId="37D27523" w14:textId="1AFB671E" w:rsidR="00F05C73" w:rsidRDefault="007914E9" w:rsidP="00140A01">
      <w:pPr>
        <w:numPr>
          <w:ilvl w:val="1"/>
          <w:numId w:val="2"/>
        </w:numPr>
        <w:spacing w:after="120"/>
        <w:ind w:left="1270" w:hanging="720"/>
      </w:pPr>
      <w:r>
        <w:t>BTHFT</w:t>
      </w:r>
      <w:r w:rsidR="00F74ED1">
        <w:t xml:space="preserve"> in the event that any Study Participant withdraws consents to the use of their Protected Data (though </w:t>
      </w:r>
      <w:r>
        <w:t>BTHFT</w:t>
      </w:r>
      <w:r w:rsidR="00F74ED1">
        <w:t xml:space="preserve"> may ask the </w:t>
      </w:r>
      <w:r w:rsidR="00A46068">
        <w:t>Receiving Organisation</w:t>
      </w:r>
      <w:r w:rsidR="00F74ED1">
        <w:t xml:space="preserve"> to delete any relevant records without terminating this agreement at its discretion);</w:t>
      </w:r>
      <w:r w:rsidR="00F74ED1">
        <w:rPr>
          <w:rFonts w:ascii="Calibri" w:eastAsia="Calibri" w:hAnsi="Calibri" w:cs="Calibri"/>
          <w:b/>
        </w:rPr>
        <w:t xml:space="preserve"> </w:t>
      </w:r>
    </w:p>
    <w:p w14:paraId="1FE48A92" w14:textId="3B6A8444" w:rsidR="00F05C73" w:rsidRDefault="007914E9" w:rsidP="00140A01">
      <w:pPr>
        <w:numPr>
          <w:ilvl w:val="1"/>
          <w:numId w:val="2"/>
        </w:numPr>
        <w:spacing w:after="120"/>
        <w:ind w:left="1270" w:hanging="720"/>
      </w:pPr>
      <w:r>
        <w:lastRenderedPageBreak/>
        <w:t>BTHFT</w:t>
      </w:r>
      <w:r w:rsidR="00F74ED1">
        <w:t xml:space="preserve"> in the event that the </w:t>
      </w:r>
      <w:r w:rsidR="00A46068">
        <w:t>Receiving Organisation</w:t>
      </w:r>
      <w:r w:rsidR="00F74ED1">
        <w:t xml:space="preserve"> commits a material breach of any term of this agreement which, if capable of remedy, has not been remedied within a period of thirty</w:t>
      </w:r>
      <w:r w:rsidR="00B11499">
        <w:t xml:space="preserve"> (30)</w:t>
      </w:r>
      <w:r w:rsidR="00F74ED1">
        <w:t xml:space="preserve"> days after being notified by </w:t>
      </w:r>
      <w:r>
        <w:t>BTHFT</w:t>
      </w:r>
      <w:r w:rsidR="00F74ED1">
        <w:t xml:space="preserve"> in writing to do so;</w:t>
      </w:r>
      <w:r w:rsidR="00F74ED1">
        <w:rPr>
          <w:rFonts w:ascii="Calibri" w:eastAsia="Calibri" w:hAnsi="Calibri" w:cs="Calibri"/>
          <w:b/>
        </w:rPr>
        <w:t xml:space="preserve"> </w:t>
      </w:r>
    </w:p>
    <w:p w14:paraId="5C0E13AC" w14:textId="7FE9CBC4" w:rsidR="00140A01" w:rsidRDefault="007914E9" w:rsidP="00140A01">
      <w:pPr>
        <w:numPr>
          <w:ilvl w:val="1"/>
          <w:numId w:val="2"/>
        </w:numPr>
        <w:spacing w:after="120" w:line="250" w:lineRule="auto"/>
        <w:ind w:left="1270" w:hanging="720"/>
      </w:pPr>
      <w:r w:rsidRPr="00140A01">
        <w:t>BTHFT</w:t>
      </w:r>
      <w:r w:rsidR="00F74ED1" w:rsidRPr="00140A01">
        <w:t xml:space="preserve"> if the </w:t>
      </w:r>
      <w:r w:rsidR="00A46068" w:rsidRPr="00140A01">
        <w:t>Receiving Organisation</w:t>
      </w:r>
      <w:r w:rsidR="00F74ED1" w:rsidRPr="00140A01">
        <w:t xml:space="preserve"> does anything that may cause damage to </w:t>
      </w:r>
      <w:r w:rsidRPr="00140A01">
        <w:t>BTHFT</w:t>
      </w:r>
      <w:r w:rsidR="00F74ED1" w:rsidRPr="00140A01">
        <w:t xml:space="preserve">’s </w:t>
      </w:r>
      <w:r w:rsidR="00F74ED1">
        <w:t>reputation;</w:t>
      </w:r>
      <w:r w:rsidR="00F74ED1" w:rsidRPr="00140A01">
        <w:t xml:space="preserve"> </w:t>
      </w:r>
    </w:p>
    <w:p w14:paraId="559E393B" w14:textId="58676691" w:rsidR="00F05C73" w:rsidRDefault="007914E9" w:rsidP="00140A01">
      <w:pPr>
        <w:numPr>
          <w:ilvl w:val="1"/>
          <w:numId w:val="2"/>
        </w:numPr>
        <w:spacing w:after="120" w:line="250" w:lineRule="auto"/>
        <w:ind w:left="1270" w:hanging="720"/>
      </w:pPr>
      <w:r>
        <w:t>BTHFT</w:t>
      </w:r>
      <w:r w:rsidR="00F74ED1">
        <w:t xml:space="preserve"> if the </w:t>
      </w:r>
      <w:r w:rsidR="00A46068">
        <w:t>Receiving Organisation</w:t>
      </w:r>
      <w:r w:rsidR="00F74ED1">
        <w:t>:</w:t>
      </w:r>
      <w:r w:rsidR="00F74ED1" w:rsidRPr="00140A01">
        <w:t xml:space="preserve"> </w:t>
      </w:r>
    </w:p>
    <w:p w14:paraId="1E498DF8" w14:textId="77777777" w:rsidR="00140A01" w:rsidRDefault="00F74ED1" w:rsidP="00140A01">
      <w:pPr>
        <w:numPr>
          <w:ilvl w:val="2"/>
          <w:numId w:val="2"/>
        </w:numPr>
        <w:ind w:left="1985" w:hanging="425"/>
      </w:pPr>
      <w:r>
        <w:t>is deemed unable to pay its debts within the meaning of section 123 of the Insolvency Act</w:t>
      </w:r>
      <w:r w:rsidR="00140A01">
        <w:t xml:space="preserve"> </w:t>
      </w:r>
      <w:r>
        <w:t xml:space="preserve">1986; </w:t>
      </w:r>
    </w:p>
    <w:p w14:paraId="3ED58BD4" w14:textId="6EEBA6A5" w:rsidR="00F05C73" w:rsidRDefault="00F74ED1" w:rsidP="00140A01">
      <w:pPr>
        <w:numPr>
          <w:ilvl w:val="2"/>
          <w:numId w:val="2"/>
        </w:numPr>
        <w:ind w:left="1985" w:hanging="425"/>
      </w:pPr>
      <w:r>
        <w:t xml:space="preserve">is the subject of a petition filed, notice given, resolution passed or order made for or in connection with its winding up (other than for the purpose of a solvent amalgamation or reconstruction of that party); </w:t>
      </w:r>
    </w:p>
    <w:p w14:paraId="2162202E" w14:textId="6C822671" w:rsidR="00F05C73" w:rsidRDefault="00F74ED1" w:rsidP="00140A01">
      <w:pPr>
        <w:numPr>
          <w:ilvl w:val="2"/>
          <w:numId w:val="2"/>
        </w:numPr>
        <w:ind w:left="1985" w:hanging="425"/>
      </w:pPr>
      <w:r>
        <w:t xml:space="preserve">is the subject of an application or order made for the appointment of an administrator or if a notice of intention to appoint an administrator is given or an administrator is appointed in respect of that party; or </w:t>
      </w:r>
    </w:p>
    <w:p w14:paraId="4C794839" w14:textId="53EAC2B9" w:rsidR="00F05C73" w:rsidRDefault="00F74ED1" w:rsidP="00F035F4">
      <w:pPr>
        <w:numPr>
          <w:ilvl w:val="2"/>
          <w:numId w:val="2"/>
        </w:numPr>
        <w:ind w:left="1985" w:hanging="425"/>
      </w:pPr>
      <w:r>
        <w:t>suspends or ceases, or threatens to suspend or cease, carrying on all or a substantial part of its operations.</w:t>
      </w:r>
      <w:r w:rsidRPr="00F035F4">
        <w:t xml:space="preserve"> </w:t>
      </w:r>
    </w:p>
    <w:p w14:paraId="63D47F6F" w14:textId="77777777" w:rsidR="00F05C73" w:rsidRDefault="00F74ED1">
      <w:pPr>
        <w:spacing w:after="13"/>
        <w:ind w:left="566"/>
      </w:pPr>
      <w:r>
        <w:rPr>
          <w:rFonts w:ascii="Calibri" w:eastAsia="Calibri" w:hAnsi="Calibri" w:cs="Calibri"/>
          <w:b/>
        </w:rPr>
        <w:t xml:space="preserve"> </w:t>
      </w:r>
    </w:p>
    <w:p w14:paraId="6A299F29" w14:textId="4E3D2CCF" w:rsidR="00F05C73" w:rsidRDefault="00F74ED1">
      <w:pPr>
        <w:numPr>
          <w:ilvl w:val="0"/>
          <w:numId w:val="2"/>
        </w:numPr>
        <w:ind w:hanging="566"/>
      </w:pPr>
      <w:r>
        <w:rPr>
          <w:rFonts w:ascii="Calibri" w:eastAsia="Calibri" w:hAnsi="Calibri" w:cs="Calibri"/>
          <w:b/>
        </w:rPr>
        <w:t>Consequences of termination:</w:t>
      </w:r>
      <w:r>
        <w:t xml:space="preserve"> On termination of this agreement for any reason, the </w:t>
      </w:r>
      <w:r w:rsidR="00A46068">
        <w:t>Receiving Organisation</w:t>
      </w:r>
      <w:r>
        <w:t xml:space="preserve"> shall as soon as reasonably practicable return or destroy (as directed in writing by </w:t>
      </w:r>
      <w:r w:rsidR="007914E9">
        <w:t>BTHFT</w:t>
      </w:r>
      <w:r>
        <w:t xml:space="preserve">) the Licenced Datasets and all other data or information provided by </w:t>
      </w:r>
      <w:r w:rsidR="007914E9">
        <w:t>BTHFT</w:t>
      </w:r>
      <w:r>
        <w:t xml:space="preserve"> in connection with this agreement. 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date of termination or expiry.</w:t>
      </w:r>
      <w:r>
        <w:rPr>
          <w:rFonts w:ascii="Calibri" w:eastAsia="Calibri" w:hAnsi="Calibri" w:cs="Calibri"/>
          <w:b/>
        </w:rPr>
        <w:t xml:space="preserve"> </w:t>
      </w:r>
    </w:p>
    <w:p w14:paraId="59CBDFEE" w14:textId="77777777" w:rsidR="00F05C73" w:rsidRDefault="00F74ED1">
      <w:pPr>
        <w:spacing w:after="10"/>
        <w:ind w:left="566"/>
      </w:pPr>
      <w:r>
        <w:rPr>
          <w:rFonts w:ascii="Calibri" w:eastAsia="Calibri" w:hAnsi="Calibri" w:cs="Calibri"/>
          <w:b/>
        </w:rPr>
        <w:t xml:space="preserve"> </w:t>
      </w:r>
    </w:p>
    <w:p w14:paraId="7D5A86D9" w14:textId="216F4AAB" w:rsidR="00F05C73" w:rsidRDefault="00F74ED1">
      <w:pPr>
        <w:numPr>
          <w:ilvl w:val="0"/>
          <w:numId w:val="2"/>
        </w:numPr>
        <w:ind w:hanging="566"/>
      </w:pPr>
      <w:r>
        <w:rPr>
          <w:rFonts w:ascii="Calibri" w:eastAsia="Calibri" w:hAnsi="Calibri" w:cs="Calibri"/>
          <w:b/>
        </w:rPr>
        <w:t>Publications and acknowledgment:</w:t>
      </w:r>
      <w:r>
        <w:t xml:space="preserve"> The </w:t>
      </w:r>
      <w:r w:rsidR="00A46068">
        <w:t>Receiving Organisation</w:t>
      </w:r>
      <w:r>
        <w:t xml:space="preserve"> will provide any potential publications to the Executive </w:t>
      </w:r>
      <w:r w:rsidR="00877AFE">
        <w:t xml:space="preserve">(by email to </w:t>
      </w:r>
      <w:hyperlink r:id="rId13" w:history="1">
        <w:r w:rsidR="00877AFE" w:rsidRPr="00D7582E">
          <w:rPr>
            <w:rStyle w:val="Hyperlink"/>
          </w:rPr>
          <w:t>borninbradford@bthft.nhs.uk</w:t>
        </w:r>
      </w:hyperlink>
      <w:r w:rsidR="00877AFE">
        <w:t xml:space="preserve">) </w:t>
      </w:r>
      <w:r>
        <w:t xml:space="preserve">at least one (1) month prior to submission of the publication. The </w:t>
      </w:r>
      <w:r w:rsidR="00A46068">
        <w:t>Receiving Organisation</w:t>
      </w:r>
      <w:r>
        <w:t xml:space="preserve"> will acknowledge the Study in all publications and presentations arising from the Authorised Research in the form specified </w:t>
      </w:r>
      <w:r w:rsidR="006A415B">
        <w:t>in the BIB Data FAQs</w:t>
      </w:r>
      <w:r>
        <w:t xml:space="preserve"> and in any data distribution notes, metadata or publication checklist provided by </w:t>
      </w:r>
      <w:r w:rsidR="007914E9">
        <w:t>BTHFT</w:t>
      </w:r>
      <w:r>
        <w:t xml:space="preserve"> and shall include reference to those individuals identified by the Executive as having played a key scientific role in the generation of the Licensed Datasets. For clarity publication may not include the Licensed Dataset. </w:t>
      </w:r>
    </w:p>
    <w:p w14:paraId="14F4276C" w14:textId="77777777" w:rsidR="00F05C73" w:rsidRDefault="00F74ED1">
      <w:pPr>
        <w:spacing w:after="10"/>
        <w:ind w:left="566"/>
      </w:pPr>
      <w:r>
        <w:rPr>
          <w:rFonts w:ascii="Calibri" w:eastAsia="Calibri" w:hAnsi="Calibri" w:cs="Calibri"/>
          <w:b/>
        </w:rPr>
        <w:t xml:space="preserve"> </w:t>
      </w:r>
    </w:p>
    <w:p w14:paraId="759925FC" w14:textId="0E47D6BA" w:rsidR="00F05C73" w:rsidRDefault="00F74ED1">
      <w:pPr>
        <w:numPr>
          <w:ilvl w:val="0"/>
          <w:numId w:val="2"/>
        </w:numPr>
        <w:ind w:hanging="566"/>
      </w:pPr>
      <w:r>
        <w:rPr>
          <w:rFonts w:ascii="Calibri" w:eastAsia="Calibri" w:hAnsi="Calibri" w:cs="Calibri"/>
          <w:b/>
        </w:rPr>
        <w:t>Costs:</w:t>
      </w:r>
      <w:r>
        <w:t xml:space="preserve"> The Licensed Datasets are supplied at cost (being the Data Access </w:t>
      </w:r>
      <w:r w:rsidR="006A415B">
        <w:t>Cost</w:t>
      </w:r>
      <w:r>
        <w:t xml:space="preserve">(s)), the details of which are set out in the Front Sheet of this agreement. </w:t>
      </w:r>
      <w:r w:rsidR="007914E9">
        <w:t>BTHFT</w:t>
      </w:r>
      <w:r>
        <w:t xml:space="preserve"> shall not be obliged to provide the Licensed Datasets </w:t>
      </w:r>
      <w:r>
        <w:rPr>
          <w:rFonts w:ascii="Calibri" w:eastAsia="Calibri" w:hAnsi="Calibri" w:cs="Calibri"/>
        </w:rPr>
        <w:t xml:space="preserve">until the </w:t>
      </w:r>
      <w:r w:rsidR="00A46068">
        <w:rPr>
          <w:rFonts w:ascii="Calibri" w:eastAsia="Calibri" w:hAnsi="Calibri" w:cs="Calibri"/>
        </w:rPr>
        <w:t>Receiving Organisation</w:t>
      </w:r>
      <w:r>
        <w:rPr>
          <w:rFonts w:ascii="Calibri" w:eastAsia="Calibri" w:hAnsi="Calibri" w:cs="Calibri"/>
        </w:rPr>
        <w:t xml:space="preserve">’s has paid in full for the use of the Licenced Datasets. If VAT is properly chargeable </w:t>
      </w:r>
      <w:r>
        <w:t xml:space="preserve">on the Data Access </w:t>
      </w:r>
      <w:r w:rsidR="006A415B">
        <w:t>Cost</w:t>
      </w:r>
      <w:r>
        <w:t xml:space="preserve">(s) then this shall be payable by the </w:t>
      </w:r>
      <w:r w:rsidR="00A46068">
        <w:t>Receiving Organisation</w:t>
      </w:r>
      <w:r>
        <w:t>.</w:t>
      </w:r>
      <w:r>
        <w:rPr>
          <w:rFonts w:ascii="Calibri" w:eastAsia="Calibri" w:hAnsi="Calibri" w:cs="Calibri"/>
          <w:b/>
        </w:rPr>
        <w:t xml:space="preserve"> </w:t>
      </w:r>
    </w:p>
    <w:p w14:paraId="0F5326E4" w14:textId="77777777" w:rsidR="00F05C73" w:rsidRDefault="00F74ED1">
      <w:pPr>
        <w:spacing w:after="13"/>
        <w:ind w:left="566"/>
      </w:pPr>
      <w:r>
        <w:rPr>
          <w:rFonts w:ascii="Calibri" w:eastAsia="Calibri" w:hAnsi="Calibri" w:cs="Calibri"/>
          <w:b/>
        </w:rPr>
        <w:t xml:space="preserve"> </w:t>
      </w:r>
    </w:p>
    <w:p w14:paraId="0407B380" w14:textId="3350058F" w:rsidR="00F05C73" w:rsidRPr="006B7876" w:rsidRDefault="00F74ED1" w:rsidP="006B7876">
      <w:pPr>
        <w:numPr>
          <w:ilvl w:val="0"/>
          <w:numId w:val="2"/>
        </w:numPr>
        <w:spacing w:after="0"/>
        <w:ind w:hanging="566"/>
        <w:rPr>
          <w:rFonts w:ascii="Calibri" w:eastAsia="Calibri" w:hAnsi="Calibri" w:cs="Calibri"/>
          <w:b/>
        </w:rPr>
      </w:pPr>
      <w:r w:rsidRPr="006B7876">
        <w:rPr>
          <w:rFonts w:ascii="Calibri" w:eastAsia="Calibri" w:hAnsi="Calibri" w:cs="Calibri"/>
          <w:b/>
        </w:rPr>
        <w:t xml:space="preserve">General provisions </w:t>
      </w:r>
    </w:p>
    <w:p w14:paraId="367DF198" w14:textId="77777777" w:rsidR="00F05C73" w:rsidRDefault="00F74ED1">
      <w:pPr>
        <w:spacing w:after="10"/>
        <w:ind w:left="566"/>
      </w:pPr>
      <w:r>
        <w:rPr>
          <w:rFonts w:ascii="Calibri" w:eastAsia="Calibri" w:hAnsi="Calibri" w:cs="Calibri"/>
          <w:b/>
        </w:rPr>
        <w:t xml:space="preserve"> </w:t>
      </w:r>
    </w:p>
    <w:p w14:paraId="51D89C97" w14:textId="0D76A764" w:rsidR="00F05C73" w:rsidRDefault="00F74ED1" w:rsidP="006A415B">
      <w:pPr>
        <w:numPr>
          <w:ilvl w:val="0"/>
          <w:numId w:val="3"/>
        </w:numPr>
        <w:ind w:left="1117" w:hanging="566"/>
      </w:pPr>
      <w:r>
        <w:rPr>
          <w:u w:val="single" w:color="000000"/>
        </w:rPr>
        <w:lastRenderedPageBreak/>
        <w:t>Interpretation:</w:t>
      </w:r>
      <w:r>
        <w:t xml:space="preserve"> The following rules shall apply to the interpretation of this agreement: </w:t>
      </w:r>
    </w:p>
    <w:p w14:paraId="4842DBA3" w14:textId="54473BB6" w:rsidR="006A415B" w:rsidRDefault="00F74ED1" w:rsidP="006A415B">
      <w:pPr>
        <w:numPr>
          <w:ilvl w:val="2"/>
          <w:numId w:val="2"/>
        </w:numPr>
        <w:ind w:left="1985" w:hanging="425"/>
      </w:pPr>
      <w:r>
        <w:t xml:space="preserve">the Special </w:t>
      </w:r>
      <w:r w:rsidR="00B01E7C">
        <w:t>Conditions</w:t>
      </w:r>
      <w:r>
        <w:t xml:space="preserve"> (as set out in the </w:t>
      </w:r>
      <w:r w:rsidR="00B01E7C">
        <w:t>Front Sheet</w:t>
      </w:r>
      <w:r>
        <w:t xml:space="preserve">) form part of this agreement, however in the event of any ambiguity or inconsistency between the terms and conditions of this agreement and the Special </w:t>
      </w:r>
      <w:r w:rsidR="00A733EF">
        <w:t>Conditions</w:t>
      </w:r>
      <w:r>
        <w:t xml:space="preserve">, the terms and conditions of this agreement shall prevail; </w:t>
      </w:r>
    </w:p>
    <w:p w14:paraId="18BB04F1" w14:textId="77777777" w:rsidR="006A415B" w:rsidRDefault="00F74ED1" w:rsidP="006A415B">
      <w:pPr>
        <w:numPr>
          <w:ilvl w:val="2"/>
          <w:numId w:val="2"/>
        </w:numPr>
        <w:ind w:left="1985" w:hanging="425"/>
      </w:pPr>
      <w:r>
        <w:t xml:space="preserve">unless the context otherwise requires, words in the singular include the plural and vice versa; </w:t>
      </w:r>
    </w:p>
    <w:p w14:paraId="745ACD28" w14:textId="77777777" w:rsidR="006A415B" w:rsidRDefault="00F74ED1" w:rsidP="006A415B">
      <w:pPr>
        <w:numPr>
          <w:ilvl w:val="2"/>
          <w:numId w:val="2"/>
        </w:numPr>
        <w:ind w:left="1985" w:hanging="425"/>
      </w:pPr>
      <w:r>
        <w:t>a reference to a statute or statutory provision is a reference to it as amended, extended or reenacted from time to time and shall include all subordinate legislation made from time to time under that statute or statutory provision;</w:t>
      </w:r>
    </w:p>
    <w:p w14:paraId="647BE059" w14:textId="77777777" w:rsidR="006A415B" w:rsidRDefault="00F74ED1" w:rsidP="006A415B">
      <w:pPr>
        <w:numPr>
          <w:ilvl w:val="2"/>
          <w:numId w:val="2"/>
        </w:numPr>
        <w:ind w:left="1985" w:hanging="425"/>
      </w:pPr>
      <w:r>
        <w:t xml:space="preserve">any words following the terms include or including or similar shall be illustrative and not limit the sense of the words preceding those terms; </w:t>
      </w:r>
    </w:p>
    <w:p w14:paraId="57A3FA2A" w14:textId="1006807C" w:rsidR="00F05C73" w:rsidRDefault="00F74ED1" w:rsidP="006A415B">
      <w:pPr>
        <w:numPr>
          <w:ilvl w:val="2"/>
          <w:numId w:val="2"/>
        </w:numPr>
        <w:ind w:left="1985" w:hanging="425"/>
      </w:pPr>
      <w:r>
        <w:t xml:space="preserve">a reference to writing or written includes e-mail but not fax. </w:t>
      </w:r>
    </w:p>
    <w:p w14:paraId="48C0F1DA" w14:textId="77777777" w:rsidR="00F05C73" w:rsidRDefault="00F74ED1">
      <w:pPr>
        <w:spacing w:after="13"/>
        <w:ind w:left="1133"/>
      </w:pPr>
      <w:r>
        <w:t xml:space="preserve"> </w:t>
      </w:r>
    </w:p>
    <w:p w14:paraId="2D0B14CF" w14:textId="77777777" w:rsidR="00F05C73" w:rsidRDefault="00F74ED1">
      <w:pPr>
        <w:numPr>
          <w:ilvl w:val="0"/>
          <w:numId w:val="3"/>
        </w:numPr>
        <w:ind w:left="1117" w:hanging="566"/>
      </w:pPr>
      <w:r>
        <w:rPr>
          <w:u w:val="single" w:color="000000"/>
        </w:rPr>
        <w:t>Notices:</w:t>
      </w:r>
      <w:r>
        <w:t xml:space="preserve"> Any notice given to a party under or in connection with this agreement shall be in writing and shall be delivered by hand or by pre-paid first-class post or other next working day delivery service to the addresses specified at the beginning of this agreement or to such other addresses as the parties shall notify to the other in writing. Any notice shall be deemed to have been received, if delivered by hand, on signature of a delivery receipt or, if sent by pre-paid first-class post or other next working day delivery service, at 9.00 am on the second working day after posting or at the time recorded by the delivery service. This clause does not apply to the service of any proceedings or other documents in any legal action. </w:t>
      </w:r>
    </w:p>
    <w:p w14:paraId="1D2A1029" w14:textId="77777777" w:rsidR="00F05C73" w:rsidRDefault="00F74ED1">
      <w:pPr>
        <w:spacing w:after="10"/>
        <w:ind w:left="1133"/>
      </w:pPr>
      <w:r>
        <w:t xml:space="preserve"> </w:t>
      </w:r>
    </w:p>
    <w:p w14:paraId="71BAA8E4" w14:textId="77777777" w:rsidR="00F05C73" w:rsidRDefault="00F74ED1">
      <w:pPr>
        <w:numPr>
          <w:ilvl w:val="0"/>
          <w:numId w:val="3"/>
        </w:numPr>
        <w:ind w:left="1117" w:hanging="566"/>
      </w:pPr>
      <w:r>
        <w:rPr>
          <w:u w:val="single" w:color="000000"/>
        </w:rPr>
        <w:t>Entire agreement</w:t>
      </w:r>
      <w:r>
        <w:t xml:space="preserve">: This agreement and its Front Sheet, Schedules, </w:t>
      </w:r>
      <w:r>
        <w:rPr>
          <w:rFonts w:ascii="Calibri" w:eastAsia="Calibri" w:hAnsi="Calibri" w:cs="Calibri"/>
        </w:rPr>
        <w:t xml:space="preserve">Annex’s (which are incorporated </w:t>
      </w:r>
      <w:r>
        <w:t xml:space="preserve">into and made a part of this agreement) constitutes the entire agreement between the relevant parties and supersedes all previous discussions, correspondence, negotiations, arrangements, understandings and agreements between them relating to its subject matter. Each Party acknowledges that in entering into this agreement it does not rely on, and shall have no remedies in respect of, any representation or warranty (whether made innocently or negligently) that is not set out in this agreement. </w:t>
      </w:r>
    </w:p>
    <w:p w14:paraId="20EE3548" w14:textId="77777777" w:rsidR="00F05C73" w:rsidRDefault="00F74ED1">
      <w:pPr>
        <w:spacing w:after="10"/>
        <w:ind w:left="1133"/>
      </w:pPr>
      <w:r>
        <w:t xml:space="preserve"> </w:t>
      </w:r>
    </w:p>
    <w:p w14:paraId="6D7EC7C5" w14:textId="61495B2F" w:rsidR="00F05C73" w:rsidRDefault="00F74ED1">
      <w:pPr>
        <w:numPr>
          <w:ilvl w:val="0"/>
          <w:numId w:val="3"/>
        </w:numPr>
        <w:ind w:left="1117" w:hanging="566"/>
      </w:pPr>
      <w:r>
        <w:rPr>
          <w:u w:val="single" w:color="000000"/>
        </w:rPr>
        <w:t>Assignment and other dealings:</w:t>
      </w:r>
      <w:r>
        <w:t xml:space="preserve"> This agreement is personal to the </w:t>
      </w:r>
      <w:r w:rsidR="00A46068">
        <w:t>Receiving Organisation</w:t>
      </w:r>
      <w:r>
        <w:t xml:space="preserve"> and it shall not assign, transfer or otherwise deal in any other manner with any of its rights and obligations under this agreement without the prior written consent of </w:t>
      </w:r>
      <w:r w:rsidR="007914E9">
        <w:t>BTHFT</w:t>
      </w:r>
      <w:r>
        <w:t xml:space="preserve">. </w:t>
      </w:r>
      <w:r w:rsidR="007914E9">
        <w:t>BTHFT</w:t>
      </w:r>
      <w:r>
        <w:t xml:space="preserve"> may at any time assign, transfer or otherwise deal in any other manner with any of its rights and obligations under this Agreement without the prior written consent of the </w:t>
      </w:r>
      <w:r w:rsidR="00A46068">
        <w:t>Receiving Organisation</w:t>
      </w:r>
      <w:r>
        <w:t xml:space="preserve">. </w:t>
      </w:r>
    </w:p>
    <w:p w14:paraId="33C2CEBF" w14:textId="77777777" w:rsidR="00F05C73" w:rsidRDefault="00F74ED1">
      <w:pPr>
        <w:spacing w:after="13"/>
        <w:ind w:left="1133"/>
      </w:pPr>
      <w:r>
        <w:t xml:space="preserve"> </w:t>
      </w:r>
    </w:p>
    <w:p w14:paraId="53824ABB" w14:textId="5A37193C" w:rsidR="00F05C73" w:rsidRDefault="00F74ED1">
      <w:pPr>
        <w:numPr>
          <w:ilvl w:val="0"/>
          <w:numId w:val="3"/>
        </w:numPr>
        <w:ind w:left="1117" w:hanging="566"/>
      </w:pPr>
      <w:r>
        <w:rPr>
          <w:u w:val="single" w:color="000000"/>
        </w:rPr>
        <w:t>Variation:</w:t>
      </w:r>
      <w:r>
        <w:t xml:space="preserve"> No variation of this agreement shall be effective unless made in writing and signed by authorised signatories of the relevant parties.  The </w:t>
      </w:r>
      <w:r w:rsidR="00A46068">
        <w:t>Receiving Organisation</w:t>
      </w:r>
      <w:r>
        <w:t xml:space="preserve"> expressly confirms and agrees that the Lead Applicant(s) is/are authorised to agree a </w:t>
      </w:r>
      <w:r>
        <w:lastRenderedPageBreak/>
        <w:t xml:space="preserve">variation to the Licensed Datasets from time to </w:t>
      </w:r>
      <w:r w:rsidR="008A1716">
        <w:t xml:space="preserve">time by submitting an amended Expression of Interest to the Executive (by email to </w:t>
      </w:r>
      <w:hyperlink r:id="rId14" w:history="1">
        <w:r w:rsidR="00877AFE" w:rsidRPr="00D7582E">
          <w:rPr>
            <w:rStyle w:val="Hyperlink"/>
          </w:rPr>
          <w:t>borninbradford@bthft.nhs.uk</w:t>
        </w:r>
      </w:hyperlink>
      <w:r w:rsidR="008A1716">
        <w:t>)</w:t>
      </w:r>
      <w:r>
        <w:t xml:space="preserve">.  </w:t>
      </w:r>
    </w:p>
    <w:p w14:paraId="4879BD80" w14:textId="77777777" w:rsidR="00F05C73" w:rsidRDefault="00F74ED1">
      <w:pPr>
        <w:spacing w:after="0"/>
        <w:ind w:left="1133"/>
      </w:pPr>
      <w:r>
        <w:t xml:space="preserve"> </w:t>
      </w:r>
    </w:p>
    <w:p w14:paraId="0167C1FA" w14:textId="77777777" w:rsidR="00F05C73" w:rsidRDefault="00F74ED1">
      <w:pPr>
        <w:numPr>
          <w:ilvl w:val="0"/>
          <w:numId w:val="3"/>
        </w:numPr>
        <w:ind w:left="1117" w:hanging="566"/>
      </w:pPr>
      <w:r>
        <w:rPr>
          <w:u w:val="single" w:color="000000"/>
        </w:rPr>
        <w:t>Waiver:</w:t>
      </w:r>
      <w:r>
        <w:t xml:space="preserve"> No failure or delay by a Party to exercise any right or remedy provided under this agreement or by law shall constitute a waiver of that or any other right or remedy, nor shall it preclude or restrict the further exercise of that or any other right or remedy. No single or partial exercise of any right or remedy shall preclude or restrict the further exercise of that or any other right or remedy. </w:t>
      </w:r>
    </w:p>
    <w:p w14:paraId="04894B92" w14:textId="77777777" w:rsidR="00F05C73" w:rsidRDefault="00F74ED1">
      <w:pPr>
        <w:spacing w:after="10"/>
        <w:ind w:left="1133"/>
      </w:pPr>
      <w:r>
        <w:t xml:space="preserve"> </w:t>
      </w:r>
    </w:p>
    <w:p w14:paraId="2224D8EA" w14:textId="77777777" w:rsidR="00F05C73" w:rsidRDefault="00F74ED1">
      <w:pPr>
        <w:numPr>
          <w:ilvl w:val="0"/>
          <w:numId w:val="3"/>
        </w:numPr>
        <w:ind w:left="1117" w:hanging="566"/>
      </w:pPr>
      <w:r>
        <w:rPr>
          <w:u w:val="single" w:color="000000"/>
        </w:rPr>
        <w:t>No partnership or agency:</w:t>
      </w:r>
      <w:r>
        <w:t xml:space="preserve"> Nothing in this agreement is intended to, or shall be deemed to, establish any partnership or joint venture between any of the parties, constitute any Party the agent of another Party, or authorise any party to make or enter into any commitments for or on behalf of any other Party. </w:t>
      </w:r>
    </w:p>
    <w:p w14:paraId="7AA242CF" w14:textId="77777777" w:rsidR="00F05C73" w:rsidRDefault="00F74ED1">
      <w:pPr>
        <w:spacing w:after="13"/>
        <w:ind w:left="1440"/>
      </w:pPr>
      <w:r>
        <w:t xml:space="preserve"> </w:t>
      </w:r>
    </w:p>
    <w:p w14:paraId="3DE9E9C9" w14:textId="77777777" w:rsidR="00F05C73" w:rsidRDefault="00F74ED1">
      <w:pPr>
        <w:numPr>
          <w:ilvl w:val="0"/>
          <w:numId w:val="3"/>
        </w:numPr>
        <w:ind w:left="1117" w:hanging="566"/>
      </w:pPr>
      <w:r>
        <w:rPr>
          <w:u w:val="single" w:color="000000"/>
        </w:rPr>
        <w:t>Third party rights:</w:t>
      </w:r>
      <w:r>
        <w:t xml:space="preserve"> A person who is not a party to this agreement shall not have any rights under the Contracts (Rights of Third Parties) Act 1999 to enforce any of its terms. This does not affect any right or remedy of a third party which exists or is available apart from that Act. </w:t>
      </w:r>
    </w:p>
    <w:p w14:paraId="51BA9983" w14:textId="77777777" w:rsidR="00F05C73" w:rsidRDefault="00F74ED1">
      <w:pPr>
        <w:spacing w:after="13"/>
        <w:ind w:left="1133"/>
      </w:pPr>
      <w:r>
        <w:t xml:space="preserve"> </w:t>
      </w:r>
    </w:p>
    <w:p w14:paraId="7EA01A17" w14:textId="77777777" w:rsidR="00F05C73" w:rsidRDefault="00F74ED1">
      <w:pPr>
        <w:numPr>
          <w:ilvl w:val="0"/>
          <w:numId w:val="3"/>
        </w:numPr>
        <w:ind w:left="1117" w:hanging="566"/>
      </w:pPr>
      <w:r>
        <w:rPr>
          <w:u w:val="single" w:color="000000"/>
        </w:rPr>
        <w:t>Governing law and jurisdiction:</w:t>
      </w:r>
      <w:r>
        <w:t xml:space="preserve"> This agreement and any dispute or claim arising out of or in connection with it or its subject matter or formation (including non-contractual disputes or claims) shall be governed by and construed in accordance with the law of England and Wales and each party irrevocably agrees that the courts of England and Wales shall have exclusive jurisdiction to settle the same. </w:t>
      </w:r>
    </w:p>
    <w:p w14:paraId="5F15ECF3" w14:textId="77777777" w:rsidR="00F05C73" w:rsidRDefault="00F74ED1">
      <w:pPr>
        <w:spacing w:after="46"/>
        <w:ind w:left="720"/>
      </w:pPr>
      <w:r>
        <w:t xml:space="preserve"> </w:t>
      </w:r>
    </w:p>
    <w:p w14:paraId="67300536" w14:textId="32F75275" w:rsidR="00F05C73" w:rsidRDefault="00F74ED1">
      <w:pPr>
        <w:numPr>
          <w:ilvl w:val="0"/>
          <w:numId w:val="3"/>
        </w:numPr>
        <w:ind w:left="1117" w:hanging="566"/>
      </w:pPr>
      <w:r>
        <w:rPr>
          <w:u w:val="single" w:color="000000"/>
        </w:rPr>
        <w:t>International Data Transfer Agreement (IDTA):</w:t>
      </w:r>
      <w:r>
        <w:t xml:space="preserve"> If the </w:t>
      </w:r>
      <w:r w:rsidR="00A46068">
        <w:t>Receiving Organisation</w:t>
      </w:r>
      <w:r>
        <w:t xml:space="preserve"> is based in a country outside the UK that </w:t>
      </w:r>
      <w:r>
        <w:rPr>
          <w:rFonts w:ascii="Calibri" w:eastAsia="Calibri" w:hAnsi="Calibri" w:cs="Calibri"/>
          <w:b/>
        </w:rPr>
        <w:t>does not</w:t>
      </w:r>
      <w:r>
        <w:t xml:space="preserve"> have an adequacy decision in line with Data Protection Legislation an IDTA will be required. This will be provided by </w:t>
      </w:r>
      <w:r w:rsidR="007914E9">
        <w:t>BTHFT</w:t>
      </w:r>
      <w:r>
        <w:t xml:space="preserve"> in addition to this agreement. The IDTA has been written by the UK Information Commissioners Office in line with requirements of UK law and the content is non-negotiable. </w:t>
      </w:r>
    </w:p>
    <w:p w14:paraId="3844C7C7" w14:textId="77777777" w:rsidR="00F05C73" w:rsidRDefault="00F74ED1">
      <w:pPr>
        <w:spacing w:after="192"/>
        <w:ind w:left="720"/>
      </w:pPr>
      <w:r>
        <w:t xml:space="preserve"> </w:t>
      </w:r>
    </w:p>
    <w:p w14:paraId="41B0EAFE" w14:textId="77777777" w:rsidR="00F05C73" w:rsidRDefault="00F74ED1">
      <w:pPr>
        <w:spacing w:after="0"/>
      </w:pPr>
      <w:r>
        <w:t xml:space="preserve"> </w:t>
      </w:r>
      <w:r>
        <w:tab/>
        <w:t xml:space="preserve"> </w:t>
      </w:r>
    </w:p>
    <w:p w14:paraId="1A05BAD4" w14:textId="77777777" w:rsidR="00437348" w:rsidRDefault="00437348">
      <w:pPr>
        <w:rPr>
          <w:rFonts w:ascii="Calibri" w:eastAsia="Calibri" w:hAnsi="Calibri" w:cs="Calibri"/>
          <w:b/>
        </w:rPr>
      </w:pPr>
      <w:r>
        <w:rPr>
          <w:rFonts w:ascii="Calibri" w:eastAsia="Calibri" w:hAnsi="Calibri" w:cs="Calibri"/>
          <w:b/>
        </w:rPr>
        <w:br w:type="page"/>
      </w:r>
    </w:p>
    <w:p w14:paraId="5409AE48" w14:textId="3CBAEA45" w:rsidR="00F05C73" w:rsidRDefault="00F74ED1" w:rsidP="006B7876">
      <w:pPr>
        <w:pStyle w:val="Heading1"/>
      </w:pPr>
      <w:r>
        <w:rPr>
          <w:rFonts w:eastAsia="Calibri"/>
        </w:rPr>
        <w:lastRenderedPageBreak/>
        <w:t xml:space="preserve">Schedule 1 </w:t>
      </w:r>
    </w:p>
    <w:p w14:paraId="126FDE6B" w14:textId="77777777" w:rsidR="00F05C73" w:rsidRDefault="00F74ED1" w:rsidP="00B3181C">
      <w:pPr>
        <w:pStyle w:val="Heading2"/>
      </w:pPr>
      <w:r>
        <w:rPr>
          <w:rFonts w:eastAsia="Calibri"/>
        </w:rPr>
        <w:t xml:space="preserve">Types of Data </w:t>
      </w:r>
    </w:p>
    <w:p w14:paraId="68B475AD" w14:textId="77777777" w:rsidR="00F05C73" w:rsidRDefault="00F74ED1">
      <w:pPr>
        <w:spacing w:after="0"/>
      </w:pPr>
      <w:r>
        <w:rPr>
          <w:rFonts w:ascii="Calibri" w:eastAsia="Calibri" w:hAnsi="Calibri" w:cs="Calibri"/>
          <w:b/>
        </w:rPr>
        <w:t xml:space="preserve"> </w:t>
      </w:r>
    </w:p>
    <w:p w14:paraId="6E1360A3" w14:textId="61A99857" w:rsidR="00F05C73" w:rsidRDefault="00204AC1" w:rsidP="00B3181C">
      <w:pPr>
        <w:pStyle w:val="Heading3"/>
      </w:pPr>
      <w:r>
        <w:t>BIB</w:t>
      </w:r>
      <w:r w:rsidR="00F74ED1">
        <w:t xml:space="preserve"> Data Types and Ownership Rights </w:t>
      </w:r>
    </w:p>
    <w:p w14:paraId="2CE65582" w14:textId="561D62C0" w:rsidR="00F05C73" w:rsidRDefault="00F74ED1" w:rsidP="000D705A">
      <w:pPr>
        <w:spacing w:after="0"/>
      </w:pPr>
      <w:r>
        <w:t xml:space="preserve"> </w:t>
      </w:r>
    </w:p>
    <w:p w14:paraId="1B6B1506" w14:textId="77777777" w:rsidR="00F05C73" w:rsidRDefault="00F74ED1" w:rsidP="00B3181C">
      <w:pPr>
        <w:pStyle w:val="Heading3"/>
      </w:pPr>
      <w:r>
        <w:t>1.</w:t>
      </w:r>
      <w:r>
        <w:rPr>
          <w:rFonts w:ascii="Arial" w:eastAsia="Arial" w:hAnsi="Arial" w:cs="Arial"/>
        </w:rPr>
        <w:t xml:space="preserve"> </w:t>
      </w:r>
      <w:r>
        <w:t xml:space="preserve">New Data Collection and Processing </w:t>
      </w:r>
    </w:p>
    <w:p w14:paraId="761254E1" w14:textId="77777777" w:rsidR="00F05C73" w:rsidRDefault="00F74ED1">
      <w:pPr>
        <w:spacing w:after="0"/>
        <w:ind w:left="360"/>
      </w:pPr>
      <w:r>
        <w:rPr>
          <w:rFonts w:ascii="Calibri" w:eastAsia="Calibri" w:hAnsi="Calibri" w:cs="Calibri"/>
          <w:b/>
        </w:rPr>
        <w:t xml:space="preserve"> </w:t>
      </w:r>
    </w:p>
    <w:p w14:paraId="384F2371" w14:textId="3A2061D7" w:rsidR="00F05C73" w:rsidRDefault="00F74ED1" w:rsidP="00B3181C">
      <w:pPr>
        <w:spacing w:line="250" w:lineRule="auto"/>
      </w:pPr>
      <w:r>
        <w:rPr>
          <w:rFonts w:ascii="Calibri" w:eastAsia="Calibri" w:hAnsi="Calibri" w:cs="Calibri"/>
          <w:i/>
        </w:rPr>
        <w:t xml:space="preserve">The collection and processing of these data types are typically conducted by </w:t>
      </w:r>
      <w:r w:rsidR="00204AC1">
        <w:rPr>
          <w:rFonts w:ascii="Calibri" w:eastAsia="Calibri" w:hAnsi="Calibri" w:cs="Calibri"/>
          <w:i/>
        </w:rPr>
        <w:t>BIB</w:t>
      </w:r>
      <w:r>
        <w:rPr>
          <w:rFonts w:ascii="Calibri" w:eastAsia="Calibri" w:hAnsi="Calibri" w:cs="Calibri"/>
          <w:i/>
        </w:rPr>
        <w:t xml:space="preserve">. In limited circumstances (e.g. the collection of image data by medical imaging experts using specialist equipment) exceptions to this rule may be made; in these circumstances additional conditions may be imposed by </w:t>
      </w:r>
      <w:r w:rsidR="007914E9">
        <w:rPr>
          <w:rFonts w:ascii="Calibri" w:eastAsia="Calibri" w:hAnsi="Calibri" w:cs="Calibri"/>
          <w:i/>
        </w:rPr>
        <w:t>BTHFT</w:t>
      </w:r>
      <w:r>
        <w:rPr>
          <w:rFonts w:ascii="Calibri" w:eastAsia="Calibri" w:hAnsi="Calibri" w:cs="Calibri"/>
          <w:i/>
        </w:rPr>
        <w:t xml:space="preserve"> following discussion with the relevant Research Institution. </w:t>
      </w:r>
    </w:p>
    <w:p w14:paraId="4F0F6883" w14:textId="77777777" w:rsidR="00F05C73" w:rsidRDefault="00F74ED1">
      <w:pPr>
        <w:spacing w:after="0"/>
      </w:pPr>
      <w:r>
        <w:rPr>
          <w:rFonts w:ascii="Calibri" w:eastAsia="Calibri" w:hAnsi="Calibri" w:cs="Calibri"/>
          <w:b/>
        </w:rPr>
        <w:t xml:space="preserve"> </w:t>
      </w:r>
    </w:p>
    <w:p w14:paraId="1D2947DA" w14:textId="282A5BE8" w:rsidR="00F05C73" w:rsidRDefault="00F74ED1">
      <w:r>
        <w:rPr>
          <w:rFonts w:ascii="Calibri" w:eastAsia="Calibri" w:hAnsi="Calibri" w:cs="Calibri"/>
          <w:b/>
        </w:rPr>
        <w:t>Raw Data:</w:t>
      </w:r>
      <w:r>
        <w:t xml:space="preserve"> means the original data (in any format, e.g. questionnaires, photos, interview transcripts, scanned images, biological samples, biological assays) as collected from participants (using any mechanism). Note that both biological samples and biological assays are considered raw data. Assay </w:t>
      </w:r>
      <w:r w:rsidR="004950EF">
        <w:t>d</w:t>
      </w:r>
      <w:r>
        <w:t xml:space="preserve">ata includes, by way of example: biochemical analyses (lipids such as HDL or LDL cholesterol) and genetic sequence data. Where new data are collected from </w:t>
      </w:r>
      <w:r w:rsidR="00204AC1">
        <w:t>BIB</w:t>
      </w:r>
      <w:r>
        <w:t xml:space="preserve"> participants then </w:t>
      </w:r>
      <w:r w:rsidR="007914E9">
        <w:t>BTHFT</w:t>
      </w:r>
      <w:r>
        <w:t xml:space="preserve"> will be the owner of these data, and Researchers are required to supply </w:t>
      </w:r>
      <w:r w:rsidR="00204AC1">
        <w:t>BIB</w:t>
      </w:r>
      <w:r>
        <w:t xml:space="preserve"> with these data in their raw form (i.e. the form in which they were generated) and provide sufficient documentation to interpret them. These Raw Data will be archived by </w:t>
      </w:r>
      <w:r w:rsidR="00204AC1">
        <w:t>BIB</w:t>
      </w:r>
      <w:r>
        <w:t xml:space="preserve"> and cleaned or derived information (Resource Data) based on these may be made available to other researchers [on the Host Platform]. </w:t>
      </w:r>
    </w:p>
    <w:p w14:paraId="22E9F8B7" w14:textId="58C87E44" w:rsidR="00F05C73" w:rsidRDefault="00F05C73">
      <w:pPr>
        <w:spacing w:after="0"/>
      </w:pPr>
    </w:p>
    <w:p w14:paraId="04F74047" w14:textId="2CB9CF23" w:rsidR="00F05C73" w:rsidRDefault="00F74ED1">
      <w:r>
        <w:rPr>
          <w:rFonts w:ascii="Calibri" w:eastAsia="Calibri" w:hAnsi="Calibri" w:cs="Calibri"/>
          <w:b/>
        </w:rPr>
        <w:t>Meta Data</w:t>
      </w:r>
      <w:r>
        <w:t xml:space="preserve">: means information which describes the data and the way in which the data were generated. Meta Data include variable names and labels, data collection protocols, information about the tools and techniques used to collect the data, the staff involved, the time and place of data collection, details of quality control and error </w:t>
      </w:r>
      <w:r>
        <w:rPr>
          <w:rFonts w:ascii="Calibri" w:eastAsia="Calibri" w:hAnsi="Calibri" w:cs="Calibri"/>
        </w:rPr>
        <w:t>–</w:t>
      </w:r>
      <w:r>
        <w:t xml:space="preserve"> i.e. </w:t>
      </w:r>
      <w:r>
        <w:rPr>
          <w:rFonts w:ascii="Calibri" w:eastAsia="Calibri" w:hAnsi="Calibri" w:cs="Calibri"/>
        </w:rPr>
        <w:t xml:space="preserve">the ‘provenance’ of the data which allow future researchers to understand and accurately use these data in a </w:t>
      </w:r>
      <w:r>
        <w:t xml:space="preserve">secondary context. Researchers must collect full and rich meta-data when generating new data and return these promptly to </w:t>
      </w:r>
      <w:r w:rsidR="00204AC1">
        <w:t>BIB</w:t>
      </w:r>
      <w:r>
        <w:t xml:space="preserve"> in a clear and understandable format. </w:t>
      </w:r>
    </w:p>
    <w:p w14:paraId="1C699553" w14:textId="77777777" w:rsidR="00F05C73" w:rsidRDefault="00F74ED1">
      <w:pPr>
        <w:spacing w:after="12"/>
      </w:pPr>
      <w:r>
        <w:t xml:space="preserve"> </w:t>
      </w:r>
    </w:p>
    <w:p w14:paraId="1992471A" w14:textId="7E9065B8" w:rsidR="00F05C73" w:rsidRDefault="00F74ED1" w:rsidP="00B3181C">
      <w:pPr>
        <w:pStyle w:val="Heading3"/>
        <w:rPr>
          <w:rFonts w:eastAsia="Calibri"/>
        </w:rPr>
      </w:pPr>
      <w:r>
        <w:rPr>
          <w:rFonts w:eastAsia="Calibri"/>
        </w:rPr>
        <w:t>2.</w:t>
      </w:r>
      <w:r>
        <w:rPr>
          <w:rFonts w:ascii="Arial" w:eastAsia="Arial" w:hAnsi="Arial" w:cs="Arial"/>
        </w:rPr>
        <w:t xml:space="preserve"> </w:t>
      </w:r>
      <w:r>
        <w:rPr>
          <w:rFonts w:eastAsia="Calibri"/>
        </w:rPr>
        <w:t>‘Licensed Dataset</w:t>
      </w:r>
      <w:r w:rsidR="00472D7B">
        <w:rPr>
          <w:rFonts w:eastAsia="Calibri"/>
        </w:rPr>
        <w:t>s</w:t>
      </w:r>
      <w:r>
        <w:rPr>
          <w:rFonts w:eastAsia="Calibri"/>
        </w:rPr>
        <w:t xml:space="preserve">’  </w:t>
      </w:r>
    </w:p>
    <w:p w14:paraId="3E01008D" w14:textId="77777777" w:rsidR="00B3181C" w:rsidRPr="00B3181C" w:rsidRDefault="00B3181C" w:rsidP="00B3181C"/>
    <w:p w14:paraId="1BBE81E5" w14:textId="77777777" w:rsidR="00F05C73" w:rsidRDefault="00F74ED1">
      <w:pPr>
        <w:spacing w:line="250" w:lineRule="auto"/>
        <w:ind w:left="-5" w:hanging="10"/>
      </w:pPr>
      <w:r>
        <w:rPr>
          <w:rFonts w:ascii="Calibri" w:eastAsia="Calibri" w:hAnsi="Calibri" w:cs="Calibri"/>
          <w:i/>
        </w:rPr>
        <w:t xml:space="preserve">Sub-sets of information from the following categories comprise the information typically given to a Researcher: </w:t>
      </w:r>
    </w:p>
    <w:p w14:paraId="7689F2AC" w14:textId="77777777" w:rsidR="00F05C73" w:rsidRDefault="00F74ED1">
      <w:pPr>
        <w:spacing w:after="0"/>
      </w:pPr>
      <w:r>
        <w:rPr>
          <w:rFonts w:ascii="Calibri" w:eastAsia="Calibri" w:hAnsi="Calibri" w:cs="Calibri"/>
          <w:b/>
        </w:rPr>
        <w:t xml:space="preserve"> </w:t>
      </w:r>
    </w:p>
    <w:p w14:paraId="252FB170" w14:textId="5D561A7E" w:rsidR="00F05C73" w:rsidRDefault="00F74ED1">
      <w:r>
        <w:rPr>
          <w:rFonts w:ascii="Calibri" w:eastAsia="Calibri" w:hAnsi="Calibri" w:cs="Calibri"/>
          <w:b/>
        </w:rPr>
        <w:t>Resource Data:</w:t>
      </w:r>
      <w:r>
        <w:t xml:space="preserve"> means real individual-level data collected by various means (e.g. directly by </w:t>
      </w:r>
      <w:r w:rsidR="00204AC1">
        <w:t>BIB</w:t>
      </w:r>
      <w:r>
        <w:t xml:space="preserve">, </w:t>
      </w:r>
      <w:r w:rsidR="00B3181C">
        <w:t xml:space="preserve">from linked health and administrative records, </w:t>
      </w:r>
      <w:r>
        <w:t xml:space="preserve">from Raw Data, from previously created Derived Data), which have been processed and made available to researchers by </w:t>
      </w:r>
      <w:r w:rsidR="00204AC1">
        <w:t>BIB</w:t>
      </w:r>
      <w:r>
        <w:t xml:space="preserve"> (where required for the approved research) for the duration of the Research. </w:t>
      </w:r>
      <w:r w:rsidR="007914E9">
        <w:t>BTHFT</w:t>
      </w:r>
      <w:r>
        <w:t xml:space="preserve"> retains ownership (or manages ownership rights of third-party owners) of the Resource Data (in all forms, copies, transformations). </w:t>
      </w:r>
    </w:p>
    <w:p w14:paraId="31B6E064" w14:textId="77777777" w:rsidR="00F05C73" w:rsidRDefault="00F74ED1">
      <w:pPr>
        <w:spacing w:after="0"/>
      </w:pPr>
      <w:r>
        <w:t xml:space="preserve">   </w:t>
      </w:r>
    </w:p>
    <w:p w14:paraId="4FCB39D7" w14:textId="38708E2F" w:rsidR="00F05C73" w:rsidRDefault="00F74ED1">
      <w:r>
        <w:rPr>
          <w:rFonts w:ascii="Calibri" w:eastAsia="Calibri" w:hAnsi="Calibri" w:cs="Calibri"/>
          <w:b/>
        </w:rPr>
        <w:t>Meta Data:</w:t>
      </w:r>
      <w:r>
        <w:t xml:space="preserve"> means information that explains and contextualises the other types of data (including Raw Data, Resource Data, and Derived Data).  An example would be calibration data for a data collection </w:t>
      </w:r>
      <w:r>
        <w:lastRenderedPageBreak/>
        <w:t xml:space="preserve">device, the details about inviting a participant to take part in a data collection exercise, or the assay results from quality control samples. Meta data are generated by </w:t>
      </w:r>
      <w:r w:rsidR="00204AC1">
        <w:t>BIB</w:t>
      </w:r>
      <w:r>
        <w:t xml:space="preserve"> as part of data collection and processing, but also by Researchers as part of creating Derived Data. Ownership of these Meta Data belong to </w:t>
      </w:r>
      <w:r w:rsidR="00204AC1">
        <w:t>BIB</w:t>
      </w:r>
      <w:r>
        <w:t xml:space="preserve"> (as it forms an integral part of the Resource Data), but Researcher authorship is acknowledged. </w:t>
      </w:r>
    </w:p>
    <w:p w14:paraId="4276BAF5" w14:textId="77777777" w:rsidR="00F05C73" w:rsidRDefault="00F74ED1">
      <w:pPr>
        <w:spacing w:after="0"/>
      </w:pPr>
      <w:r>
        <w:rPr>
          <w:rFonts w:ascii="Calibri" w:eastAsia="Calibri" w:hAnsi="Calibri" w:cs="Calibri"/>
          <w:b/>
        </w:rPr>
        <w:t xml:space="preserve"> </w:t>
      </w:r>
    </w:p>
    <w:p w14:paraId="5FEF1847" w14:textId="1053B95E" w:rsidR="00F05C73" w:rsidRDefault="00F74ED1">
      <w:r>
        <w:rPr>
          <w:rFonts w:ascii="Calibri" w:eastAsia="Calibri" w:hAnsi="Calibri" w:cs="Calibri"/>
          <w:b/>
        </w:rPr>
        <w:t xml:space="preserve">Synthetic Data: </w:t>
      </w:r>
      <w:r>
        <w:t xml:space="preserve">means data that are representations of the Resource Data that are artificially generated rather than relating to real individuals. Synthetic data are typically created using statistical techniques so that while the data are </w:t>
      </w:r>
      <w:r>
        <w:rPr>
          <w:rFonts w:ascii="Calibri" w:eastAsia="Calibri" w:hAnsi="Calibri" w:cs="Calibri"/>
        </w:rPr>
        <w:t xml:space="preserve">not ‘real’ they </w:t>
      </w:r>
      <w:r>
        <w:t xml:space="preserve">may retain a similar underlying structure and distribution as the real Resource Data. </w:t>
      </w:r>
      <w:r w:rsidR="007914E9">
        <w:t>BTHFT</w:t>
      </w:r>
      <w:r>
        <w:t xml:space="preserve"> retains ownership of the Synthetic Data and for the avoidance of confusion or mistakes, the distribution and handling of synthetic data must still use rigorous and secure processes. </w:t>
      </w:r>
    </w:p>
    <w:p w14:paraId="72833C5F" w14:textId="77777777" w:rsidR="00F05C73" w:rsidRDefault="00F74ED1">
      <w:pPr>
        <w:spacing w:after="10"/>
      </w:pPr>
      <w:r>
        <w:t xml:space="preserve"> </w:t>
      </w:r>
    </w:p>
    <w:p w14:paraId="2FB00DE3" w14:textId="77777777" w:rsidR="00F05C73" w:rsidRDefault="00F74ED1" w:rsidP="00B3181C">
      <w:pPr>
        <w:pStyle w:val="Heading3"/>
      </w:pPr>
      <w:r>
        <w:t>3.</w:t>
      </w:r>
      <w:r>
        <w:rPr>
          <w:rFonts w:ascii="Arial" w:eastAsia="Arial" w:hAnsi="Arial" w:cs="Arial"/>
        </w:rPr>
        <w:t xml:space="preserve"> </w:t>
      </w:r>
      <w:r>
        <w:t xml:space="preserve">Outputs from the research process </w:t>
      </w:r>
    </w:p>
    <w:p w14:paraId="2682C4C0" w14:textId="77777777" w:rsidR="00B3181C" w:rsidRPr="00B3181C" w:rsidRDefault="00B3181C" w:rsidP="00B3181C"/>
    <w:p w14:paraId="10117D3B" w14:textId="2D2C4F9F" w:rsidR="00F05C73" w:rsidRDefault="00F74ED1">
      <w:pPr>
        <w:spacing w:line="250" w:lineRule="auto"/>
        <w:ind w:left="-5" w:hanging="10"/>
      </w:pPr>
      <w:r>
        <w:rPr>
          <w:rFonts w:ascii="Calibri" w:eastAsia="Calibri" w:hAnsi="Calibri" w:cs="Calibri"/>
          <w:i/>
        </w:rPr>
        <w:t xml:space="preserve">The following category is typically individual-level data which is identified by a </w:t>
      </w:r>
      <w:r w:rsidR="00204AC1">
        <w:rPr>
          <w:rFonts w:ascii="Calibri" w:eastAsia="Calibri" w:hAnsi="Calibri" w:cs="Calibri"/>
          <w:i/>
        </w:rPr>
        <w:t>BIB</w:t>
      </w:r>
      <w:r>
        <w:rPr>
          <w:rFonts w:ascii="Calibri" w:eastAsia="Calibri" w:hAnsi="Calibri" w:cs="Calibri"/>
          <w:i/>
        </w:rPr>
        <w:t xml:space="preserve"> generated </w:t>
      </w:r>
      <w:r w:rsidR="00B3181C">
        <w:rPr>
          <w:rFonts w:ascii="Calibri" w:eastAsia="Calibri" w:hAnsi="Calibri" w:cs="Calibri"/>
          <w:i/>
        </w:rPr>
        <w:t xml:space="preserve">person ID or </w:t>
      </w:r>
      <w:r>
        <w:rPr>
          <w:rFonts w:ascii="Calibri" w:eastAsia="Calibri" w:hAnsi="Calibri" w:cs="Calibri"/>
          <w:i/>
        </w:rPr>
        <w:t xml:space="preserve">case ID number. </w:t>
      </w:r>
    </w:p>
    <w:p w14:paraId="09FE0A04" w14:textId="77777777" w:rsidR="00F05C73" w:rsidRDefault="00F74ED1">
      <w:pPr>
        <w:spacing w:after="0"/>
      </w:pPr>
      <w:r>
        <w:t xml:space="preserve"> </w:t>
      </w:r>
    </w:p>
    <w:p w14:paraId="71D2FD2A" w14:textId="0B5B2C39" w:rsidR="00F05C73" w:rsidRDefault="00F74ED1">
      <w:r>
        <w:rPr>
          <w:rFonts w:ascii="Calibri" w:eastAsia="Calibri" w:hAnsi="Calibri" w:cs="Calibri"/>
          <w:b/>
        </w:rPr>
        <w:t>Derived Data:</w:t>
      </w:r>
      <w:r>
        <w:t xml:space="preserve"> means individual-level data generated from analyses or functional combinations of the [</w:t>
      </w:r>
      <w:r w:rsidR="00204AC1">
        <w:t>BIB</w:t>
      </w:r>
      <w:r>
        <w:t xml:space="preserve">] Resource Data. An example of a Derived Data variable includes Body Mass Index (BMI), being a function of height and weight or principal component scores derived from diet data. </w:t>
      </w:r>
      <w:r w:rsidR="00204AC1">
        <w:t>BIB</w:t>
      </w:r>
      <w:r>
        <w:t xml:space="preserve"> retains ownership of these Derived Data and these data, with their explanatory documentation, must be returned to </w:t>
      </w:r>
      <w:r w:rsidR="00204AC1">
        <w:t>BIB</w:t>
      </w:r>
      <w:r>
        <w:t xml:space="preserve"> to feed back into the resource and become part of the Resource Data. Researchers are only permitted to keep the Derived Data until the end of their Authorised Research project. The syntax or methodology documentation used to create the Derived Data is the property of the Researcher (or the original rights owner, as appropriate), but </w:t>
      </w:r>
      <w:r w:rsidR="00204AC1">
        <w:t>BIB</w:t>
      </w:r>
      <w:r>
        <w:t xml:space="preserve"> shall be granted a nonexclusive royalty free and perpetual license to access, use and distribute this [Meta Data]. </w:t>
      </w:r>
    </w:p>
    <w:p w14:paraId="46471990" w14:textId="77777777" w:rsidR="00F05C73" w:rsidRDefault="00F74ED1">
      <w:pPr>
        <w:spacing w:after="0"/>
      </w:pPr>
      <w:r>
        <w:t xml:space="preserve"> </w:t>
      </w:r>
    </w:p>
    <w:p w14:paraId="30AC72F8" w14:textId="6F303C67" w:rsidR="00F05C73" w:rsidRDefault="00F74ED1">
      <w:pPr>
        <w:spacing w:line="250" w:lineRule="auto"/>
        <w:ind w:left="-5" w:hanging="10"/>
      </w:pPr>
      <w:r>
        <w:rPr>
          <w:rFonts w:ascii="Calibri" w:eastAsia="Calibri" w:hAnsi="Calibri" w:cs="Calibri"/>
          <w:i/>
        </w:rPr>
        <w:t xml:space="preserve">The following categories must be transformed to the point where they are effectively anonymous and typically at an aggregate level (e.g. tables of results). Some data </w:t>
      </w:r>
      <w:r w:rsidR="00B3181C">
        <w:rPr>
          <w:rFonts w:ascii="Calibri" w:eastAsia="Calibri" w:hAnsi="Calibri" w:cs="Calibri"/>
          <w:i/>
        </w:rPr>
        <w:t>(e.g.</w:t>
      </w:r>
      <w:r>
        <w:rPr>
          <w:rFonts w:ascii="Calibri" w:eastAsia="Calibri" w:hAnsi="Calibri" w:cs="Calibri"/>
          <w:i/>
        </w:rPr>
        <w:t xml:space="preserve"> anonymised verbatim quotes from an in-depth interview) may be considered Research Results.  In these cases, the data must be published selectively (i.e. it is not permissible to upload the Resource Data (e.g. a participant</w:t>
      </w:r>
      <w:r w:rsidR="00B3181C">
        <w:rPr>
          <w:rFonts w:ascii="Calibri" w:eastAsia="Calibri" w:hAnsi="Calibri" w:cs="Calibri"/>
          <w:i/>
        </w:rPr>
        <w:t>’</w:t>
      </w:r>
      <w:r>
        <w:rPr>
          <w:rFonts w:ascii="Calibri" w:eastAsia="Calibri" w:hAnsi="Calibri" w:cs="Calibri"/>
          <w:i/>
        </w:rPr>
        <w:t xml:space="preserve">s full transcript) to a journal to accompany a publication). All published outputs must be assessed for disclosure risk and transformed to control for identified risks. </w:t>
      </w:r>
    </w:p>
    <w:p w14:paraId="62C35CC6" w14:textId="77777777" w:rsidR="00F05C73" w:rsidRDefault="00F74ED1">
      <w:pPr>
        <w:spacing w:after="0"/>
      </w:pPr>
      <w:r>
        <w:t xml:space="preserve"> </w:t>
      </w:r>
    </w:p>
    <w:p w14:paraId="7BCAF91C" w14:textId="3FAC8219" w:rsidR="00F05C73" w:rsidRDefault="00F74ED1">
      <w:r>
        <w:rPr>
          <w:rFonts w:ascii="Calibri" w:eastAsia="Calibri" w:hAnsi="Calibri" w:cs="Calibri"/>
          <w:b/>
        </w:rPr>
        <w:t>Researcher Analyses:</w:t>
      </w:r>
      <w:r>
        <w:t xml:space="preserve"> means methodologies, applications and mathematical devices used by Researchers, such as power calculations, algorithms and statistical correlations. Researcher Analys</w:t>
      </w:r>
      <w:r w:rsidR="00B3181C">
        <w:t>e</w:t>
      </w:r>
      <w:r>
        <w:t xml:space="preserve">s do not include any Resource Data, Derived Data, or Researcher Results. Researcher Analyses are the property of the Researcher, although </w:t>
      </w:r>
      <w:r w:rsidR="00204AC1">
        <w:t>BIB</w:t>
      </w:r>
      <w:r>
        <w:t xml:space="preserve"> encourage</w:t>
      </w:r>
      <w:r w:rsidR="00B3181C">
        <w:t>s</w:t>
      </w:r>
      <w:r>
        <w:t xml:space="preserve"> Researchers to share these with other users of the resource. </w:t>
      </w:r>
    </w:p>
    <w:p w14:paraId="34C39791" w14:textId="77777777" w:rsidR="00F05C73" w:rsidRDefault="00F74ED1">
      <w:pPr>
        <w:spacing w:after="0"/>
      </w:pPr>
      <w:r>
        <w:t xml:space="preserve">  </w:t>
      </w:r>
    </w:p>
    <w:p w14:paraId="4E9A5AD6" w14:textId="0C14FF7C" w:rsidR="00F05C73" w:rsidRDefault="00F74ED1">
      <w:r>
        <w:rPr>
          <w:rFonts w:ascii="Calibri" w:eastAsia="Calibri" w:hAnsi="Calibri" w:cs="Calibri"/>
          <w:b/>
        </w:rPr>
        <w:t>Researcher Results:</w:t>
      </w:r>
      <w:r>
        <w:t xml:space="preserve"> means respectively the qualitative conclusions of the Researcher and the anonymised outcomes of the quantitative Researcher Analyses which underpin those conclusions. These are the information which are typically published and disseminated in standard academic methods. </w:t>
      </w:r>
      <w:r>
        <w:lastRenderedPageBreak/>
        <w:t xml:space="preserve">These are the property of the Researcher; although </w:t>
      </w:r>
      <w:r w:rsidR="007914E9">
        <w:t>BTHFT</w:t>
      </w:r>
      <w:r>
        <w:t xml:space="preserve"> retains and may exercise the right to evaluate publications prior to submission and to request changes if the Researcher Results are considered possibly to risk participant confidentiality or to risk bringing the Study into disrepute. </w:t>
      </w:r>
    </w:p>
    <w:p w14:paraId="129B9052" w14:textId="77777777" w:rsidR="00F05C73" w:rsidRDefault="00F74ED1">
      <w:pPr>
        <w:spacing w:after="12"/>
      </w:pPr>
      <w:r>
        <w:t xml:space="preserve"> </w:t>
      </w:r>
    </w:p>
    <w:p w14:paraId="74FC65B0" w14:textId="77777777" w:rsidR="00F05C73" w:rsidRDefault="00F74ED1" w:rsidP="00B3181C">
      <w:pPr>
        <w:pStyle w:val="Heading3"/>
      </w:pPr>
      <w:r>
        <w:rPr>
          <w:rFonts w:eastAsia="Calibri"/>
        </w:rPr>
        <w:t>4.</w:t>
      </w:r>
      <w:r>
        <w:rPr>
          <w:rFonts w:ascii="Arial" w:eastAsia="Arial" w:hAnsi="Arial" w:cs="Arial"/>
        </w:rPr>
        <w:t xml:space="preserve"> </w:t>
      </w:r>
      <w:r>
        <w:rPr>
          <w:rFonts w:eastAsia="Calibri"/>
        </w:rPr>
        <w:t xml:space="preserve">Documentation </w:t>
      </w:r>
    </w:p>
    <w:p w14:paraId="11D61138" w14:textId="77777777" w:rsidR="00F05C73" w:rsidRDefault="00F74ED1">
      <w:pPr>
        <w:spacing w:after="0"/>
      </w:pPr>
      <w:r>
        <w:rPr>
          <w:rFonts w:ascii="Calibri" w:eastAsia="Calibri" w:hAnsi="Calibri" w:cs="Calibri"/>
          <w:b/>
        </w:rPr>
        <w:t xml:space="preserve"> </w:t>
      </w:r>
    </w:p>
    <w:p w14:paraId="5C5F439F" w14:textId="77777777" w:rsidR="00F05C73" w:rsidRDefault="00F74ED1">
      <w:r>
        <w:t xml:space="preserve">A document which describes in full any type of data described in section 1-3 above. </w:t>
      </w:r>
    </w:p>
    <w:p w14:paraId="3C705939" w14:textId="77777777" w:rsidR="00B3181C" w:rsidRDefault="00B3181C">
      <w:pPr>
        <w:spacing w:after="0"/>
      </w:pPr>
    </w:p>
    <w:p w14:paraId="684BA854" w14:textId="77777777" w:rsidR="00B3181C" w:rsidRDefault="00B3181C">
      <w:pPr>
        <w:spacing w:after="0"/>
      </w:pPr>
    </w:p>
    <w:p w14:paraId="4DB20008" w14:textId="3D1BA311" w:rsidR="00F05C73" w:rsidRDefault="00F74ED1">
      <w:pPr>
        <w:spacing w:after="0"/>
      </w:pPr>
      <w:r>
        <w:t xml:space="preserve"> </w:t>
      </w:r>
      <w:r>
        <w:tab/>
        <w:t xml:space="preserve"> </w:t>
      </w:r>
    </w:p>
    <w:p w14:paraId="40B80182" w14:textId="77777777" w:rsidR="00F05C73" w:rsidRDefault="00F74ED1">
      <w:pPr>
        <w:spacing w:after="0"/>
      </w:pPr>
      <w:r>
        <w:t xml:space="preserve"> </w:t>
      </w:r>
    </w:p>
    <w:p w14:paraId="02139F05" w14:textId="77777777" w:rsidR="00437348" w:rsidRDefault="00437348">
      <w:pPr>
        <w:rPr>
          <w:rFonts w:ascii="Calibri" w:eastAsia="Calibri" w:hAnsi="Calibri" w:cs="Calibri"/>
          <w:b/>
        </w:rPr>
      </w:pPr>
      <w:r>
        <w:rPr>
          <w:rFonts w:ascii="Calibri" w:eastAsia="Calibri" w:hAnsi="Calibri" w:cs="Calibri"/>
          <w:b/>
        </w:rPr>
        <w:br w:type="page"/>
      </w:r>
    </w:p>
    <w:p w14:paraId="6E1EA074" w14:textId="68DD04F2" w:rsidR="00F05C73" w:rsidRDefault="00F74ED1" w:rsidP="00B3181C">
      <w:pPr>
        <w:pStyle w:val="Heading1"/>
      </w:pPr>
      <w:r>
        <w:rPr>
          <w:rFonts w:eastAsia="Calibri"/>
        </w:rPr>
        <w:lastRenderedPageBreak/>
        <w:t xml:space="preserve">Schedule 2 </w:t>
      </w:r>
    </w:p>
    <w:p w14:paraId="6A70B4FD" w14:textId="57FA51CF" w:rsidR="00F05C73" w:rsidRDefault="00F74ED1" w:rsidP="00B3181C">
      <w:pPr>
        <w:pStyle w:val="Heading2"/>
      </w:pPr>
      <w:r w:rsidRPr="00B3181C">
        <w:t>Information</w:t>
      </w:r>
      <w:r>
        <w:t xml:space="preserve"> Security Controls </w:t>
      </w:r>
    </w:p>
    <w:p w14:paraId="00DC3E28" w14:textId="77777777" w:rsidR="00F05C73" w:rsidRDefault="00F74ED1">
      <w:pPr>
        <w:spacing w:after="10"/>
        <w:ind w:left="720"/>
      </w:pPr>
      <w:r>
        <w:rPr>
          <w:rFonts w:ascii="Calibri" w:eastAsia="Calibri" w:hAnsi="Calibri" w:cs="Calibri"/>
          <w:b/>
        </w:rPr>
        <w:t xml:space="preserve"> </w:t>
      </w:r>
    </w:p>
    <w:p w14:paraId="113EBAF5" w14:textId="2E34D3EA" w:rsidR="00D13D34" w:rsidRDefault="00F74ED1" w:rsidP="00D13D34">
      <w:pPr>
        <w:pStyle w:val="ListParagraph"/>
        <w:numPr>
          <w:ilvl w:val="0"/>
          <w:numId w:val="16"/>
        </w:numPr>
        <w:spacing w:after="120" w:line="250" w:lineRule="auto"/>
        <w:ind w:right="-6"/>
      </w:pPr>
      <w:r w:rsidRPr="00D13D34">
        <w:rPr>
          <w:rFonts w:ascii="Calibri" w:eastAsia="Calibri" w:hAnsi="Calibri" w:cs="Calibri"/>
        </w:rPr>
        <w:t xml:space="preserve">The Information contained within the Licensed Datasets is classified by </w:t>
      </w:r>
      <w:r w:rsidR="007914E9" w:rsidRPr="00D13D34">
        <w:rPr>
          <w:rFonts w:ascii="Calibri" w:eastAsia="Calibri" w:hAnsi="Calibri" w:cs="Calibri"/>
        </w:rPr>
        <w:t>BTHFT</w:t>
      </w:r>
      <w:r w:rsidRPr="00D13D34">
        <w:rPr>
          <w:rFonts w:ascii="Calibri" w:eastAsia="Calibri" w:hAnsi="Calibri" w:cs="Calibri"/>
        </w:rPr>
        <w:t xml:space="preserve"> as being ‘Strictly Confidential’ and the </w:t>
      </w:r>
      <w:r w:rsidR="00A46068" w:rsidRPr="00D13D34">
        <w:rPr>
          <w:rFonts w:ascii="Calibri" w:eastAsia="Calibri" w:hAnsi="Calibri" w:cs="Calibri"/>
        </w:rPr>
        <w:t>Receiving Organisation</w:t>
      </w:r>
      <w:r>
        <w:t xml:space="preserve"> shall ensure that: </w:t>
      </w:r>
    </w:p>
    <w:p w14:paraId="40862FEF" w14:textId="676FC4DA" w:rsidR="00F05C73" w:rsidRDefault="00F74ED1" w:rsidP="00D13D34">
      <w:pPr>
        <w:numPr>
          <w:ilvl w:val="0"/>
          <w:numId w:val="5"/>
        </w:numPr>
        <w:spacing w:after="120"/>
        <w:ind w:hanging="360"/>
      </w:pPr>
      <w:r>
        <w:t xml:space="preserve">Access to these data shall only be available to specifically authorised staff being those persons named in the application to </w:t>
      </w:r>
      <w:r w:rsidR="00204AC1">
        <w:t>BIB</w:t>
      </w:r>
      <w:r>
        <w:t xml:space="preserve"> for access to the </w:t>
      </w:r>
      <w:r w:rsidR="00D13D34">
        <w:t xml:space="preserve">data </w:t>
      </w:r>
      <w:r>
        <w:t xml:space="preserve">and the minimum number of IT Services staff required to maintain the systems hosting the Licensed Datasets; </w:t>
      </w:r>
    </w:p>
    <w:p w14:paraId="76E9BA7A" w14:textId="049B3284" w:rsidR="00F05C73" w:rsidRDefault="00F74ED1" w:rsidP="00D13D34">
      <w:pPr>
        <w:numPr>
          <w:ilvl w:val="0"/>
          <w:numId w:val="5"/>
        </w:numPr>
        <w:spacing w:after="120"/>
        <w:ind w:hanging="360"/>
      </w:pPr>
      <w:r>
        <w:t>Physical documents containing the Information within the Licensed Dataset</w:t>
      </w:r>
      <w:r w:rsidR="00472D7B">
        <w:t>s</w:t>
      </w:r>
      <w:r>
        <w:t xml:space="preserve">, or extracts or derived information, shall be kept in secure environments (locked cupboards in locked buildings) and only accessible to the named Investigator(s) when not in use; </w:t>
      </w:r>
    </w:p>
    <w:p w14:paraId="4987D515" w14:textId="7DFEF119" w:rsidR="00F05C73" w:rsidRDefault="00F74ED1" w:rsidP="00D13D34">
      <w:pPr>
        <w:numPr>
          <w:ilvl w:val="0"/>
          <w:numId w:val="5"/>
        </w:numPr>
        <w:spacing w:after="120"/>
        <w:ind w:hanging="360"/>
      </w:pPr>
      <w:r>
        <w:t xml:space="preserve">Electronic files containing the Information, or extracts or derived information, shall be stored on hardware located in secure environments (locked locations in locked buildings). Access to the Electronic Files must be restricted to only the </w:t>
      </w:r>
      <w:r w:rsidR="00D13D34">
        <w:t>Applicant(s) identified in the Front Sheet as those to have access to the data</w:t>
      </w:r>
      <w:r>
        <w:t>. The hardware used to store the Electronic files must be encrypted to the AES-256bit standard and accessible using strong passwords</w:t>
      </w:r>
      <w:r w:rsidR="00D13D34">
        <w:t xml:space="preserve"> </w:t>
      </w:r>
      <w:r>
        <w:t xml:space="preserve">(at least 12 characters using a mix of letters, cases, numbers and symbols); </w:t>
      </w:r>
    </w:p>
    <w:p w14:paraId="7B066410" w14:textId="4AC80A47" w:rsidR="00F05C73" w:rsidRDefault="00F74ED1" w:rsidP="00D13D34">
      <w:pPr>
        <w:numPr>
          <w:ilvl w:val="0"/>
          <w:numId w:val="5"/>
        </w:numPr>
        <w:spacing w:after="120"/>
        <w:ind w:hanging="360"/>
      </w:pPr>
      <w:r>
        <w:t>Electronic information is transported in an encrypted format using encryption to the AES-256bit standard and strong passwords (at least 12 characters using a mix of letters, cases, numbers and symbols). Where the electronic information is being transported physically then the device must also be encrypted to AES-256bit standard. Encryption keys must be held securely and not transported using the same mechanism as the encrypted Information contained within the Licensed Dataset</w:t>
      </w:r>
      <w:r w:rsidR="00472D7B">
        <w:t>s</w:t>
      </w:r>
      <w:r>
        <w:t xml:space="preserve">; </w:t>
      </w:r>
    </w:p>
    <w:p w14:paraId="3F39A70F" w14:textId="77777777" w:rsidR="00F05C73" w:rsidRDefault="00F74ED1" w:rsidP="00D13D34">
      <w:pPr>
        <w:numPr>
          <w:ilvl w:val="0"/>
          <w:numId w:val="5"/>
        </w:numPr>
        <w:spacing w:after="120"/>
        <w:ind w:hanging="360"/>
      </w:pPr>
      <w:r>
        <w:t xml:space="preserve">Physical information being transported must not be left unattended during transit; </w:t>
      </w:r>
    </w:p>
    <w:p w14:paraId="21CABDFF" w14:textId="773F2459" w:rsidR="00F05C73" w:rsidRDefault="00F74ED1" w:rsidP="00D13D34">
      <w:pPr>
        <w:numPr>
          <w:ilvl w:val="0"/>
          <w:numId w:val="5"/>
        </w:numPr>
        <w:spacing w:after="120"/>
        <w:ind w:hanging="360"/>
      </w:pPr>
      <w:r>
        <w:t>The Information contained within the Licensed Dataset</w:t>
      </w:r>
      <w:r w:rsidR="00472D7B">
        <w:t>s</w:t>
      </w:r>
      <w:r>
        <w:t xml:space="preserve"> must be disposed of securely, where physical copies are shredded so the information is non-recoverable, and the hardware storing the electronic copies of the Licenced Information must be physically destroyed at the end of their useful life in such a way the information is non-recoverable; </w:t>
      </w:r>
    </w:p>
    <w:p w14:paraId="79E7A76A" w14:textId="0AFA8C3E" w:rsidR="00F05C73" w:rsidRDefault="00F74ED1" w:rsidP="00D13D34">
      <w:pPr>
        <w:numPr>
          <w:ilvl w:val="0"/>
          <w:numId w:val="5"/>
        </w:numPr>
        <w:spacing w:after="120"/>
        <w:ind w:hanging="360"/>
      </w:pPr>
      <w:r>
        <w:t xml:space="preserve">The </w:t>
      </w:r>
      <w:r w:rsidR="00A46068">
        <w:t>Receiving Organisation</w:t>
      </w:r>
      <w:r>
        <w:t xml:space="preserve"> is responsible for ensuring their electronic file infrastructure is fit for purpose and it is secured through the implementation of access control mechanisms; regular patching of software and hardware; use of current anti-virus software; the conducting of penetration testing and swift resolution of any vulnerabilities found; </w:t>
      </w:r>
    </w:p>
    <w:p w14:paraId="470E8E29" w14:textId="05AA01BE" w:rsidR="00F05C73" w:rsidRDefault="00F74ED1" w:rsidP="00D13D34">
      <w:pPr>
        <w:numPr>
          <w:ilvl w:val="0"/>
          <w:numId w:val="5"/>
        </w:numPr>
        <w:spacing w:after="120"/>
        <w:ind w:hanging="360"/>
      </w:pPr>
      <w:r>
        <w:t xml:space="preserve">The Lead Applicant(s) monitor the copying of the Information contained within the Licensed Dataset and its derivatives to ensure that an inventory of all copies is compiled, and the location of all copies is known and recorded; </w:t>
      </w:r>
    </w:p>
    <w:p w14:paraId="5674FB5C" w14:textId="6D6CE066" w:rsidR="00437348" w:rsidRDefault="00F74ED1" w:rsidP="00D13D34">
      <w:pPr>
        <w:numPr>
          <w:ilvl w:val="0"/>
          <w:numId w:val="5"/>
        </w:numPr>
        <w:spacing w:after="120"/>
        <w:ind w:hanging="360"/>
      </w:pPr>
      <w:r>
        <w:t xml:space="preserve">That where the </w:t>
      </w:r>
      <w:r w:rsidR="00A46068">
        <w:t>Receiving Organisation</w:t>
      </w:r>
      <w:r>
        <w:t xml:space="preserve"> uses third party provided services as part of its electronic or physical service provision to the Lead Applicant(s) then the according service provision contracts include sufficient terms to uphold these Information Security requirements. </w:t>
      </w:r>
    </w:p>
    <w:p w14:paraId="11181149" w14:textId="77777777" w:rsidR="00437348" w:rsidRPr="00437348" w:rsidRDefault="00437348" w:rsidP="00D13D34">
      <w:pPr>
        <w:spacing w:after="120"/>
      </w:pPr>
    </w:p>
    <w:p w14:paraId="53344667" w14:textId="77777777" w:rsidR="00437348" w:rsidRDefault="00437348">
      <w:pPr>
        <w:rPr>
          <w:rFonts w:ascii="Calibri" w:eastAsia="Calibri" w:hAnsi="Calibri" w:cs="Calibri"/>
          <w:b/>
        </w:rPr>
      </w:pPr>
      <w:r>
        <w:rPr>
          <w:rFonts w:ascii="Calibri" w:eastAsia="Calibri" w:hAnsi="Calibri" w:cs="Calibri"/>
          <w:b/>
        </w:rPr>
        <w:br w:type="page"/>
      </w:r>
    </w:p>
    <w:p w14:paraId="16A13775" w14:textId="635BC8D4" w:rsidR="00F05C73" w:rsidRDefault="00F74ED1" w:rsidP="00B3181C">
      <w:pPr>
        <w:pStyle w:val="Heading1"/>
        <w:rPr>
          <w:rFonts w:eastAsia="Calibri"/>
        </w:rPr>
      </w:pPr>
      <w:r>
        <w:rPr>
          <w:rFonts w:eastAsia="Calibri"/>
        </w:rPr>
        <w:lastRenderedPageBreak/>
        <w:t xml:space="preserve">Schedule 3 </w:t>
      </w:r>
    </w:p>
    <w:p w14:paraId="41D94298" w14:textId="77777777" w:rsidR="00F05C73" w:rsidRDefault="00F74ED1" w:rsidP="00B3181C">
      <w:pPr>
        <w:pStyle w:val="Heading2"/>
      </w:pPr>
      <w:r>
        <w:rPr>
          <w:rFonts w:eastAsia="Calibri"/>
        </w:rPr>
        <w:t xml:space="preserve">Licensed Datasets </w:t>
      </w:r>
    </w:p>
    <w:p w14:paraId="502A25A0" w14:textId="77777777" w:rsidR="00437348" w:rsidRDefault="00437348">
      <w:pPr>
        <w:spacing w:after="0"/>
        <w:rPr>
          <w:rFonts w:ascii="Calibri" w:eastAsia="Calibri" w:hAnsi="Calibri" w:cs="Calibri"/>
          <w:b/>
        </w:rPr>
      </w:pPr>
    </w:p>
    <w:p w14:paraId="16AE9C07" w14:textId="77777777" w:rsidR="00437348" w:rsidRDefault="00437348">
      <w:pPr>
        <w:spacing w:after="0"/>
        <w:rPr>
          <w:rFonts w:ascii="Calibri" w:eastAsia="Calibri" w:hAnsi="Calibri" w:cs="Calibri"/>
          <w:b/>
        </w:rPr>
      </w:pPr>
    </w:p>
    <w:p w14:paraId="18772EF8" w14:textId="77777777" w:rsidR="00437348" w:rsidRDefault="00437348">
      <w:pPr>
        <w:spacing w:after="0"/>
        <w:rPr>
          <w:rFonts w:ascii="Calibri" w:eastAsia="Calibri" w:hAnsi="Calibri" w:cs="Calibri"/>
          <w:b/>
        </w:rPr>
      </w:pPr>
    </w:p>
    <w:p w14:paraId="6B402F8C" w14:textId="77777777" w:rsidR="00437348" w:rsidRDefault="00437348">
      <w:pPr>
        <w:spacing w:after="0"/>
        <w:rPr>
          <w:rFonts w:ascii="Calibri" w:eastAsia="Calibri" w:hAnsi="Calibri" w:cs="Calibri"/>
          <w:b/>
        </w:rPr>
      </w:pPr>
    </w:p>
    <w:p w14:paraId="2A934FA1" w14:textId="77777777" w:rsidR="00437348" w:rsidRDefault="00437348">
      <w:pPr>
        <w:spacing w:after="0"/>
        <w:rPr>
          <w:rFonts w:ascii="Calibri" w:eastAsia="Calibri" w:hAnsi="Calibri" w:cs="Calibri"/>
          <w:b/>
        </w:rPr>
      </w:pPr>
    </w:p>
    <w:p w14:paraId="46DC98CF" w14:textId="186D0CDE" w:rsidR="00F05C73" w:rsidRDefault="00F74ED1">
      <w:pPr>
        <w:spacing w:after="0"/>
      </w:pPr>
      <w:r>
        <w:rPr>
          <w:rFonts w:ascii="Calibri" w:eastAsia="Calibri" w:hAnsi="Calibri" w:cs="Calibri"/>
          <w:b/>
        </w:rPr>
        <w:t xml:space="preserve"> </w:t>
      </w:r>
      <w:r>
        <w:rPr>
          <w:rFonts w:ascii="Calibri" w:eastAsia="Calibri" w:hAnsi="Calibri" w:cs="Calibri"/>
          <w:b/>
        </w:rPr>
        <w:tab/>
        <w:t xml:space="preserve"> </w:t>
      </w:r>
      <w:r>
        <w:br w:type="page"/>
      </w:r>
    </w:p>
    <w:p w14:paraId="17DF2401" w14:textId="77777777" w:rsidR="00F05C73" w:rsidRDefault="00F74ED1" w:rsidP="00B3181C">
      <w:pPr>
        <w:pStyle w:val="Heading1"/>
      </w:pPr>
      <w:r>
        <w:rPr>
          <w:rFonts w:eastAsia="Calibri"/>
        </w:rPr>
        <w:lastRenderedPageBreak/>
        <w:t xml:space="preserve">Schedule 4 </w:t>
      </w:r>
    </w:p>
    <w:p w14:paraId="6674F5EE" w14:textId="77777777" w:rsidR="00F05C73" w:rsidRDefault="00F74ED1" w:rsidP="00B3181C">
      <w:pPr>
        <w:pStyle w:val="Heading2"/>
      </w:pPr>
      <w:r>
        <w:rPr>
          <w:rFonts w:eastAsia="Calibri"/>
        </w:rPr>
        <w:t xml:space="preserve">Authorised Research </w:t>
      </w:r>
    </w:p>
    <w:p w14:paraId="300B94D0" w14:textId="77777777" w:rsidR="00F05C73" w:rsidRDefault="00F74ED1">
      <w:r>
        <w:rPr>
          <w:rFonts w:ascii="Calibri" w:eastAsia="Calibri" w:hAnsi="Calibri" w:cs="Calibri"/>
          <w:b/>
        </w:rPr>
        <w:t xml:space="preserve">                                                                   </w:t>
      </w:r>
    </w:p>
    <w:p w14:paraId="4758B1E0" w14:textId="77777777" w:rsidR="00F05C73" w:rsidRDefault="00F74ED1">
      <w:pPr>
        <w:spacing w:after="156"/>
      </w:pPr>
      <w:r>
        <w:t xml:space="preserve"> </w:t>
      </w:r>
    </w:p>
    <w:p w14:paraId="13FC6890" w14:textId="77777777" w:rsidR="00437348" w:rsidRDefault="00437348">
      <w:pPr>
        <w:spacing w:after="156"/>
      </w:pPr>
    </w:p>
    <w:p w14:paraId="2FC5428E" w14:textId="77777777" w:rsidR="00437348" w:rsidRDefault="00437348">
      <w:pPr>
        <w:spacing w:after="156"/>
      </w:pPr>
    </w:p>
    <w:p w14:paraId="679F864E" w14:textId="77777777" w:rsidR="00437348" w:rsidRDefault="00437348">
      <w:pPr>
        <w:spacing w:after="156"/>
      </w:pPr>
    </w:p>
    <w:p w14:paraId="356E1396" w14:textId="77777777" w:rsidR="00437348" w:rsidRDefault="00437348">
      <w:pPr>
        <w:spacing w:after="156"/>
      </w:pPr>
    </w:p>
    <w:p w14:paraId="30ACAEB3" w14:textId="77777777" w:rsidR="00F05C73" w:rsidRDefault="00F74ED1">
      <w:pPr>
        <w:spacing w:after="141"/>
      </w:pPr>
      <w:r>
        <w:t xml:space="preserve"> </w:t>
      </w:r>
      <w:r>
        <w:tab/>
        <w:t xml:space="preserve"> </w:t>
      </w:r>
    </w:p>
    <w:p w14:paraId="6BB6D813" w14:textId="77777777" w:rsidR="00F05C73" w:rsidRDefault="00F74ED1">
      <w:pPr>
        <w:spacing w:after="0"/>
      </w:pPr>
      <w:r>
        <w:t xml:space="preserve"> </w:t>
      </w:r>
    </w:p>
    <w:sectPr w:rsidR="00F05C73">
      <w:footerReference w:type="default" r:id="rId15"/>
      <w:pgSz w:w="12240" w:h="15840"/>
      <w:pgMar w:top="763" w:right="1434" w:bottom="72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F24C3" w14:textId="77777777" w:rsidR="000D70D9" w:rsidRDefault="000D70D9" w:rsidP="000D70D9">
      <w:pPr>
        <w:spacing w:after="0" w:line="240" w:lineRule="auto"/>
      </w:pPr>
      <w:r>
        <w:separator/>
      </w:r>
    </w:p>
  </w:endnote>
  <w:endnote w:type="continuationSeparator" w:id="0">
    <w:p w14:paraId="1E7AE745" w14:textId="77777777" w:rsidR="000D70D9" w:rsidRDefault="000D70D9" w:rsidP="000D7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370002"/>
      <w:docPartObj>
        <w:docPartGallery w:val="Page Numbers (Bottom of Page)"/>
        <w:docPartUnique/>
      </w:docPartObj>
    </w:sdtPr>
    <w:sdtEndPr>
      <w:rPr>
        <w:noProof/>
      </w:rPr>
    </w:sdtEndPr>
    <w:sdtContent>
      <w:p w14:paraId="3035AB25" w14:textId="60844F6D" w:rsidR="00187694" w:rsidRDefault="001876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8F5AA7" w14:textId="77777777" w:rsidR="00187694" w:rsidRDefault="00187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DA512" w14:textId="77777777" w:rsidR="000D70D9" w:rsidRDefault="000D70D9" w:rsidP="000D70D9">
      <w:pPr>
        <w:spacing w:after="0" w:line="240" w:lineRule="auto"/>
      </w:pPr>
      <w:r>
        <w:separator/>
      </w:r>
    </w:p>
  </w:footnote>
  <w:footnote w:type="continuationSeparator" w:id="0">
    <w:p w14:paraId="11258461" w14:textId="77777777" w:rsidR="000D70D9" w:rsidRDefault="000D70D9" w:rsidP="000D70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0267A1C"/>
    <w:multiLevelType w:val="hybridMultilevel"/>
    <w:tmpl w:val="89FAB404"/>
    <w:lvl w:ilvl="0" w:tplc="8646A15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3967544">
      <w:start w:val="4"/>
      <w:numFmt w:val="lowerRoman"/>
      <w:lvlText w:val="%2."/>
      <w:lvlJc w:val="left"/>
      <w:pPr>
        <w:ind w:left="1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0902B94">
      <w:start w:val="1"/>
      <w:numFmt w:val="lowerRoman"/>
      <w:lvlText w:val="%3"/>
      <w:lvlJc w:val="left"/>
      <w:pPr>
        <w:ind w:left="2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C70B63A">
      <w:start w:val="1"/>
      <w:numFmt w:val="decimal"/>
      <w:lvlText w:val="%4"/>
      <w:lvlJc w:val="left"/>
      <w:pPr>
        <w:ind w:left="29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F221600">
      <w:start w:val="1"/>
      <w:numFmt w:val="lowerLetter"/>
      <w:lvlText w:val="%5"/>
      <w:lvlJc w:val="left"/>
      <w:pPr>
        <w:ind w:left="36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60E799C">
      <w:start w:val="1"/>
      <w:numFmt w:val="lowerRoman"/>
      <w:lvlText w:val="%6"/>
      <w:lvlJc w:val="left"/>
      <w:pPr>
        <w:ind w:left="43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86A7BFE">
      <w:start w:val="1"/>
      <w:numFmt w:val="decimal"/>
      <w:lvlText w:val="%7"/>
      <w:lvlJc w:val="left"/>
      <w:pPr>
        <w:ind w:left="5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D0850E2">
      <w:start w:val="1"/>
      <w:numFmt w:val="lowerLetter"/>
      <w:lvlText w:val="%8"/>
      <w:lvlJc w:val="left"/>
      <w:pPr>
        <w:ind w:left="58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D60430E">
      <w:start w:val="1"/>
      <w:numFmt w:val="lowerRoman"/>
      <w:lvlText w:val="%9"/>
      <w:lvlJc w:val="left"/>
      <w:pPr>
        <w:ind w:left="65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11421C6"/>
    <w:multiLevelType w:val="hybridMultilevel"/>
    <w:tmpl w:val="8ED4FC3A"/>
    <w:lvl w:ilvl="0" w:tplc="5F9C5FB6">
      <w:start w:val="1"/>
      <w:numFmt w:val="lowerLetter"/>
      <w:lvlText w:val="(%1)"/>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32CD716">
      <w:start w:val="1"/>
      <w:numFmt w:val="lowerLetter"/>
      <w:lvlText w:val="%2"/>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C0AB908">
      <w:start w:val="1"/>
      <w:numFmt w:val="lowerRoman"/>
      <w:lvlText w:val="%3"/>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6DE455A">
      <w:start w:val="1"/>
      <w:numFmt w:val="decimal"/>
      <w:lvlText w:val="%4"/>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C9AE294">
      <w:start w:val="1"/>
      <w:numFmt w:val="lowerLetter"/>
      <w:lvlText w:val="%5"/>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0587C64">
      <w:start w:val="1"/>
      <w:numFmt w:val="lowerRoman"/>
      <w:lvlText w:val="%6"/>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C28592E">
      <w:start w:val="1"/>
      <w:numFmt w:val="decimal"/>
      <w:lvlText w:val="%7"/>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B58BA6C">
      <w:start w:val="1"/>
      <w:numFmt w:val="lowerLetter"/>
      <w:lvlText w:val="%8"/>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6BE7C32">
      <w:start w:val="1"/>
      <w:numFmt w:val="lowerRoman"/>
      <w:lvlText w:val="%9"/>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7E12A22"/>
    <w:multiLevelType w:val="hybridMultilevel"/>
    <w:tmpl w:val="38603D3C"/>
    <w:lvl w:ilvl="0" w:tplc="6F4C43AE">
      <w:start w:val="1"/>
      <w:numFmt w:val="lowerLetter"/>
      <w:lvlText w:val="(%1)"/>
      <w:lvlJc w:val="left"/>
      <w:pPr>
        <w:ind w:left="11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1DEF40A">
      <w:start w:val="1"/>
      <w:numFmt w:val="lowerLetter"/>
      <w:lvlText w:val="%2"/>
      <w:lvlJc w:val="left"/>
      <w:pPr>
        <w:ind w:left="1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74C264A">
      <w:start w:val="1"/>
      <w:numFmt w:val="lowerRoman"/>
      <w:lvlText w:val="%3"/>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D10B9D0">
      <w:start w:val="1"/>
      <w:numFmt w:val="decimal"/>
      <w:lvlText w:val="%4"/>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55ED0EA">
      <w:start w:val="1"/>
      <w:numFmt w:val="lowerLetter"/>
      <w:lvlText w:val="%5"/>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B107EDE">
      <w:start w:val="1"/>
      <w:numFmt w:val="lowerRoman"/>
      <w:lvlText w:val="%6"/>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A2401D4">
      <w:start w:val="1"/>
      <w:numFmt w:val="decimal"/>
      <w:lvlText w:val="%7"/>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08E5D0A">
      <w:start w:val="1"/>
      <w:numFmt w:val="lowerLetter"/>
      <w:lvlText w:val="%8"/>
      <w:lvlJc w:val="left"/>
      <w:pPr>
        <w:ind w:left="5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F640CD0">
      <w:start w:val="1"/>
      <w:numFmt w:val="lowerRoman"/>
      <w:lvlText w:val="%9"/>
      <w:lvlJc w:val="left"/>
      <w:pPr>
        <w:ind w:left="6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8E3608A"/>
    <w:multiLevelType w:val="hybridMultilevel"/>
    <w:tmpl w:val="B336B168"/>
    <w:lvl w:ilvl="0" w:tplc="76143E2A">
      <w:start w:val="1"/>
      <w:numFmt w:val="decimal"/>
      <w:lvlText w:val="%1."/>
      <w:lvlJc w:val="left"/>
      <w:pPr>
        <w:ind w:left="56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5DD05DBA">
      <w:start w:val="1"/>
      <w:numFmt w:val="lowerLetter"/>
      <w:lvlText w:val="(%2)"/>
      <w:lvlJc w:val="left"/>
      <w:pPr>
        <w:ind w:left="12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CA4ED66">
      <w:start w:val="1"/>
      <w:numFmt w:val="lowerRoman"/>
      <w:lvlText w:val="(%3)"/>
      <w:lvlJc w:val="left"/>
      <w:pPr>
        <w:ind w:left="21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DDCE754">
      <w:start w:val="1"/>
      <w:numFmt w:val="decimal"/>
      <w:lvlText w:val="%4"/>
      <w:lvlJc w:val="left"/>
      <w:pPr>
        <w:ind w:left="27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1E02D2C">
      <w:start w:val="1"/>
      <w:numFmt w:val="lowerLetter"/>
      <w:lvlText w:val="%5"/>
      <w:lvlJc w:val="left"/>
      <w:pPr>
        <w:ind w:left="34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A2CC664">
      <w:start w:val="1"/>
      <w:numFmt w:val="lowerRoman"/>
      <w:lvlText w:val="%6"/>
      <w:lvlJc w:val="left"/>
      <w:pPr>
        <w:ind w:left="41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090F85A">
      <w:start w:val="1"/>
      <w:numFmt w:val="decimal"/>
      <w:lvlText w:val="%7"/>
      <w:lvlJc w:val="left"/>
      <w:pPr>
        <w:ind w:left="48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F4ABAC6">
      <w:start w:val="1"/>
      <w:numFmt w:val="lowerLetter"/>
      <w:lvlText w:val="%8"/>
      <w:lvlJc w:val="left"/>
      <w:pPr>
        <w:ind w:left="55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7F4365C">
      <w:start w:val="1"/>
      <w:numFmt w:val="lowerRoman"/>
      <w:lvlText w:val="%9"/>
      <w:lvlJc w:val="left"/>
      <w:pPr>
        <w:ind w:left="63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6B36876"/>
    <w:multiLevelType w:val="hybridMultilevel"/>
    <w:tmpl w:val="ACB08CAE"/>
    <w:lvl w:ilvl="0" w:tplc="5C78E662">
      <w:start w:val="1"/>
      <w:numFmt w:val="upperLetter"/>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66D3D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83AC53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108FDF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88CC1F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47676B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8540AE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2A5C5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054C98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C3C40C5"/>
    <w:multiLevelType w:val="hybridMultilevel"/>
    <w:tmpl w:val="41C806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5461831">
    <w:abstractNumId w:val="5"/>
  </w:num>
  <w:num w:numId="2" w16cid:durableId="763455097">
    <w:abstractNumId w:val="4"/>
  </w:num>
  <w:num w:numId="3" w16cid:durableId="565991608">
    <w:abstractNumId w:val="3"/>
  </w:num>
  <w:num w:numId="4" w16cid:durableId="1832017574">
    <w:abstractNumId w:val="1"/>
  </w:num>
  <w:num w:numId="5" w16cid:durableId="632515206">
    <w:abstractNumId w:val="2"/>
  </w:num>
  <w:num w:numId="6" w16cid:durableId="1314601067">
    <w:abstractNumId w:val="0"/>
  </w:num>
  <w:num w:numId="7" w16cid:durableId="167059205">
    <w:abstractNumId w:val="0"/>
  </w:num>
  <w:num w:numId="8" w16cid:durableId="1141843819">
    <w:abstractNumId w:val="0"/>
  </w:num>
  <w:num w:numId="9" w16cid:durableId="1970359167">
    <w:abstractNumId w:val="0"/>
  </w:num>
  <w:num w:numId="10" w16cid:durableId="1183978410">
    <w:abstractNumId w:val="0"/>
  </w:num>
  <w:num w:numId="11" w16cid:durableId="837427698">
    <w:abstractNumId w:val="0"/>
  </w:num>
  <w:num w:numId="12" w16cid:durableId="426073522">
    <w:abstractNumId w:val="0"/>
  </w:num>
  <w:num w:numId="13" w16cid:durableId="1058280395">
    <w:abstractNumId w:val="0"/>
  </w:num>
  <w:num w:numId="14" w16cid:durableId="228424314">
    <w:abstractNumId w:val="0"/>
  </w:num>
  <w:num w:numId="15" w16cid:durableId="1854757870">
    <w:abstractNumId w:val="0"/>
  </w:num>
  <w:num w:numId="16" w16cid:durableId="20413189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C73"/>
    <w:rsid w:val="00013EDD"/>
    <w:rsid w:val="0002286A"/>
    <w:rsid w:val="000B69B3"/>
    <w:rsid w:val="000D705A"/>
    <w:rsid w:val="000D70D9"/>
    <w:rsid w:val="00113BB3"/>
    <w:rsid w:val="00116E0A"/>
    <w:rsid w:val="00140A01"/>
    <w:rsid w:val="00187694"/>
    <w:rsid w:val="001F2B9C"/>
    <w:rsid w:val="00204AC1"/>
    <w:rsid w:val="00261E11"/>
    <w:rsid w:val="00280DEB"/>
    <w:rsid w:val="002A374F"/>
    <w:rsid w:val="00347904"/>
    <w:rsid w:val="00366B73"/>
    <w:rsid w:val="00416AD0"/>
    <w:rsid w:val="00437348"/>
    <w:rsid w:val="00461D8B"/>
    <w:rsid w:val="00472D7B"/>
    <w:rsid w:val="00476D0B"/>
    <w:rsid w:val="004950EF"/>
    <w:rsid w:val="004A0A93"/>
    <w:rsid w:val="00514CF7"/>
    <w:rsid w:val="00557A9E"/>
    <w:rsid w:val="00580A57"/>
    <w:rsid w:val="00587409"/>
    <w:rsid w:val="006A415B"/>
    <w:rsid w:val="006B7876"/>
    <w:rsid w:val="006D2B7C"/>
    <w:rsid w:val="00733103"/>
    <w:rsid w:val="007914E9"/>
    <w:rsid w:val="007D7CEC"/>
    <w:rsid w:val="007E001F"/>
    <w:rsid w:val="007E0124"/>
    <w:rsid w:val="00824DF9"/>
    <w:rsid w:val="00832AB1"/>
    <w:rsid w:val="00871292"/>
    <w:rsid w:val="00877AFE"/>
    <w:rsid w:val="008A1716"/>
    <w:rsid w:val="009671E9"/>
    <w:rsid w:val="00974907"/>
    <w:rsid w:val="00987C3A"/>
    <w:rsid w:val="00A46068"/>
    <w:rsid w:val="00A733EF"/>
    <w:rsid w:val="00A828F6"/>
    <w:rsid w:val="00B01E7C"/>
    <w:rsid w:val="00B11499"/>
    <w:rsid w:val="00B3181C"/>
    <w:rsid w:val="00BB31DD"/>
    <w:rsid w:val="00BE1CFB"/>
    <w:rsid w:val="00C003EF"/>
    <w:rsid w:val="00C02825"/>
    <w:rsid w:val="00C73FEB"/>
    <w:rsid w:val="00D13D34"/>
    <w:rsid w:val="00D5629C"/>
    <w:rsid w:val="00DD1E67"/>
    <w:rsid w:val="00DE5261"/>
    <w:rsid w:val="00E11BB3"/>
    <w:rsid w:val="00E6795C"/>
    <w:rsid w:val="00E97643"/>
    <w:rsid w:val="00EB1936"/>
    <w:rsid w:val="00F035F4"/>
    <w:rsid w:val="00F05C73"/>
    <w:rsid w:val="00F6411F"/>
    <w:rsid w:val="00F67741"/>
    <w:rsid w:val="00F74E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10312"/>
  <w15:docId w15:val="{0A17B723-A2C8-42C0-A5E4-CFA45A901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CEC"/>
  </w:style>
  <w:style w:type="paragraph" w:styleId="Heading1">
    <w:name w:val="heading 1"/>
    <w:basedOn w:val="Normal"/>
    <w:next w:val="Normal"/>
    <w:link w:val="Heading1Char"/>
    <w:uiPriority w:val="9"/>
    <w:qFormat/>
    <w:rsid w:val="007D7CEC"/>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7D7CEC"/>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7D7CEC"/>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7D7CEC"/>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7D7CEC"/>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7D7CEC"/>
    <w:pPr>
      <w:keepNext/>
      <w:keepLines/>
      <w:spacing w:before="40" w:after="0"/>
      <w:outlineLvl w:val="5"/>
    </w:pPr>
  </w:style>
  <w:style w:type="paragraph" w:styleId="Heading7">
    <w:name w:val="heading 7"/>
    <w:basedOn w:val="Normal"/>
    <w:next w:val="Normal"/>
    <w:link w:val="Heading7Char"/>
    <w:uiPriority w:val="9"/>
    <w:semiHidden/>
    <w:unhideWhenUsed/>
    <w:qFormat/>
    <w:rsid w:val="007D7CEC"/>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D7CEC"/>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7D7CEC"/>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7CEC"/>
    <w:rPr>
      <w:rFonts w:asciiTheme="majorHAnsi" w:eastAsiaTheme="majorEastAsia" w:hAnsiTheme="majorHAnsi" w:cstheme="majorBidi"/>
      <w:color w:val="262626" w:themeColor="text1" w:themeTint="D9"/>
      <w:sz w:val="28"/>
      <w:szCs w:val="28"/>
    </w:rPr>
  </w:style>
  <w:style w:type="character" w:customStyle="1" w:styleId="Heading1Char">
    <w:name w:val="Heading 1 Char"/>
    <w:basedOn w:val="DefaultParagraphFont"/>
    <w:link w:val="Heading1"/>
    <w:uiPriority w:val="9"/>
    <w:rsid w:val="007D7CEC"/>
    <w:rPr>
      <w:rFonts w:asciiTheme="majorHAnsi" w:eastAsiaTheme="majorEastAsia" w:hAnsiTheme="majorHAnsi" w:cstheme="majorBidi"/>
      <w:color w:val="262626" w:themeColor="text1" w:themeTint="D9"/>
      <w:sz w:val="32"/>
      <w:szCs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D70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0D9"/>
    <w:rPr>
      <w:rFonts w:ascii="Calibri" w:eastAsia="Calibri" w:hAnsi="Calibri" w:cs="Calibri"/>
      <w:color w:val="000000"/>
      <w:sz w:val="20"/>
    </w:rPr>
  </w:style>
  <w:style w:type="paragraph" w:styleId="Footer">
    <w:name w:val="footer"/>
    <w:basedOn w:val="Normal"/>
    <w:link w:val="FooterChar"/>
    <w:uiPriority w:val="99"/>
    <w:unhideWhenUsed/>
    <w:rsid w:val="000D70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0D9"/>
    <w:rPr>
      <w:rFonts w:ascii="Calibri" w:eastAsia="Calibri" w:hAnsi="Calibri" w:cs="Calibri"/>
      <w:color w:val="000000"/>
      <w:sz w:val="20"/>
    </w:rPr>
  </w:style>
  <w:style w:type="character" w:customStyle="1" w:styleId="Heading3Char">
    <w:name w:val="Heading 3 Char"/>
    <w:basedOn w:val="DefaultParagraphFont"/>
    <w:link w:val="Heading3"/>
    <w:uiPriority w:val="9"/>
    <w:rsid w:val="007D7CEC"/>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7D7CEC"/>
    <w:rPr>
      <w:i/>
      <w:iCs/>
    </w:rPr>
  </w:style>
  <w:style w:type="character" w:customStyle="1" w:styleId="Heading5Char">
    <w:name w:val="Heading 5 Char"/>
    <w:basedOn w:val="DefaultParagraphFont"/>
    <w:link w:val="Heading5"/>
    <w:uiPriority w:val="9"/>
    <w:semiHidden/>
    <w:rsid w:val="007D7CEC"/>
    <w:rPr>
      <w:color w:val="404040" w:themeColor="text1" w:themeTint="BF"/>
    </w:rPr>
  </w:style>
  <w:style w:type="character" w:customStyle="1" w:styleId="Heading6Char">
    <w:name w:val="Heading 6 Char"/>
    <w:basedOn w:val="DefaultParagraphFont"/>
    <w:link w:val="Heading6"/>
    <w:uiPriority w:val="9"/>
    <w:semiHidden/>
    <w:rsid w:val="007D7CEC"/>
  </w:style>
  <w:style w:type="character" w:customStyle="1" w:styleId="Heading7Char">
    <w:name w:val="Heading 7 Char"/>
    <w:basedOn w:val="DefaultParagraphFont"/>
    <w:link w:val="Heading7"/>
    <w:uiPriority w:val="9"/>
    <w:semiHidden/>
    <w:rsid w:val="007D7CE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D7CEC"/>
    <w:rPr>
      <w:color w:val="262626" w:themeColor="text1" w:themeTint="D9"/>
      <w:sz w:val="21"/>
      <w:szCs w:val="21"/>
    </w:rPr>
  </w:style>
  <w:style w:type="character" w:customStyle="1" w:styleId="Heading9Char">
    <w:name w:val="Heading 9 Char"/>
    <w:basedOn w:val="DefaultParagraphFont"/>
    <w:link w:val="Heading9"/>
    <w:uiPriority w:val="9"/>
    <w:semiHidden/>
    <w:rsid w:val="007D7CEC"/>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7D7CEC"/>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7D7CEC"/>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D7CEC"/>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7D7CEC"/>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7D7CEC"/>
    <w:rPr>
      <w:color w:val="5A5A5A" w:themeColor="text1" w:themeTint="A5"/>
      <w:spacing w:val="15"/>
    </w:rPr>
  </w:style>
  <w:style w:type="character" w:styleId="Strong">
    <w:name w:val="Strong"/>
    <w:basedOn w:val="DefaultParagraphFont"/>
    <w:uiPriority w:val="22"/>
    <w:qFormat/>
    <w:rsid w:val="007D7CEC"/>
    <w:rPr>
      <w:b/>
      <w:bCs/>
      <w:color w:val="auto"/>
    </w:rPr>
  </w:style>
  <w:style w:type="character" w:styleId="Emphasis">
    <w:name w:val="Emphasis"/>
    <w:basedOn w:val="DefaultParagraphFont"/>
    <w:uiPriority w:val="20"/>
    <w:qFormat/>
    <w:rsid w:val="007D7CEC"/>
    <w:rPr>
      <w:i/>
      <w:iCs/>
      <w:color w:val="auto"/>
    </w:rPr>
  </w:style>
  <w:style w:type="paragraph" w:styleId="NoSpacing">
    <w:name w:val="No Spacing"/>
    <w:uiPriority w:val="1"/>
    <w:qFormat/>
    <w:rsid w:val="007D7CEC"/>
    <w:pPr>
      <w:spacing w:after="0" w:line="240" w:lineRule="auto"/>
    </w:pPr>
  </w:style>
  <w:style w:type="paragraph" w:styleId="Quote">
    <w:name w:val="Quote"/>
    <w:basedOn w:val="Normal"/>
    <w:next w:val="Normal"/>
    <w:link w:val="QuoteChar"/>
    <w:uiPriority w:val="29"/>
    <w:qFormat/>
    <w:rsid w:val="007D7CEC"/>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7D7CEC"/>
    <w:rPr>
      <w:i/>
      <w:iCs/>
      <w:color w:val="404040" w:themeColor="text1" w:themeTint="BF"/>
    </w:rPr>
  </w:style>
  <w:style w:type="paragraph" w:styleId="IntenseQuote">
    <w:name w:val="Intense Quote"/>
    <w:basedOn w:val="Normal"/>
    <w:next w:val="Normal"/>
    <w:link w:val="IntenseQuoteChar"/>
    <w:uiPriority w:val="30"/>
    <w:qFormat/>
    <w:rsid w:val="007D7CEC"/>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7D7CEC"/>
    <w:rPr>
      <w:i/>
      <w:iCs/>
      <w:color w:val="404040" w:themeColor="text1" w:themeTint="BF"/>
    </w:rPr>
  </w:style>
  <w:style w:type="character" w:styleId="SubtleEmphasis">
    <w:name w:val="Subtle Emphasis"/>
    <w:basedOn w:val="DefaultParagraphFont"/>
    <w:uiPriority w:val="19"/>
    <w:qFormat/>
    <w:rsid w:val="007D7CEC"/>
    <w:rPr>
      <w:i/>
      <w:iCs/>
      <w:color w:val="404040" w:themeColor="text1" w:themeTint="BF"/>
    </w:rPr>
  </w:style>
  <w:style w:type="character" w:styleId="IntenseEmphasis">
    <w:name w:val="Intense Emphasis"/>
    <w:basedOn w:val="DefaultParagraphFont"/>
    <w:uiPriority w:val="21"/>
    <w:qFormat/>
    <w:rsid w:val="007D7CEC"/>
    <w:rPr>
      <w:b/>
      <w:bCs/>
      <w:i/>
      <w:iCs/>
      <w:color w:val="auto"/>
    </w:rPr>
  </w:style>
  <w:style w:type="character" w:styleId="SubtleReference">
    <w:name w:val="Subtle Reference"/>
    <w:basedOn w:val="DefaultParagraphFont"/>
    <w:uiPriority w:val="31"/>
    <w:qFormat/>
    <w:rsid w:val="007D7CEC"/>
    <w:rPr>
      <w:smallCaps/>
      <w:color w:val="404040" w:themeColor="text1" w:themeTint="BF"/>
    </w:rPr>
  </w:style>
  <w:style w:type="character" w:styleId="IntenseReference">
    <w:name w:val="Intense Reference"/>
    <w:basedOn w:val="DefaultParagraphFont"/>
    <w:uiPriority w:val="32"/>
    <w:qFormat/>
    <w:rsid w:val="007D7CEC"/>
    <w:rPr>
      <w:b/>
      <w:bCs/>
      <w:smallCaps/>
      <w:color w:val="404040" w:themeColor="text1" w:themeTint="BF"/>
      <w:spacing w:val="5"/>
    </w:rPr>
  </w:style>
  <w:style w:type="character" w:styleId="BookTitle">
    <w:name w:val="Book Title"/>
    <w:basedOn w:val="DefaultParagraphFont"/>
    <w:uiPriority w:val="33"/>
    <w:qFormat/>
    <w:rsid w:val="007D7CEC"/>
    <w:rPr>
      <w:b/>
      <w:bCs/>
      <w:i/>
      <w:iCs/>
      <w:spacing w:val="5"/>
    </w:rPr>
  </w:style>
  <w:style w:type="paragraph" w:styleId="TOCHeading">
    <w:name w:val="TOC Heading"/>
    <w:basedOn w:val="Heading1"/>
    <w:next w:val="Normal"/>
    <w:uiPriority w:val="39"/>
    <w:semiHidden/>
    <w:unhideWhenUsed/>
    <w:qFormat/>
    <w:rsid w:val="007D7CEC"/>
    <w:pPr>
      <w:outlineLvl w:val="9"/>
    </w:pPr>
  </w:style>
  <w:style w:type="paragraph" w:styleId="ListParagraph">
    <w:name w:val="List Paragraph"/>
    <w:basedOn w:val="Normal"/>
    <w:uiPriority w:val="34"/>
    <w:qFormat/>
    <w:rsid w:val="000D70D9"/>
    <w:pPr>
      <w:ind w:left="720"/>
      <w:contextualSpacing/>
    </w:pPr>
  </w:style>
  <w:style w:type="character" w:styleId="Hyperlink">
    <w:name w:val="Hyperlink"/>
    <w:basedOn w:val="DefaultParagraphFont"/>
    <w:uiPriority w:val="99"/>
    <w:unhideWhenUsed/>
    <w:rsid w:val="00204AC1"/>
    <w:rPr>
      <w:color w:val="0563C1" w:themeColor="hyperlink"/>
      <w:u w:val="single"/>
    </w:rPr>
  </w:style>
  <w:style w:type="character" w:styleId="UnresolvedMention">
    <w:name w:val="Unresolved Mention"/>
    <w:basedOn w:val="DefaultParagraphFont"/>
    <w:uiPriority w:val="99"/>
    <w:semiHidden/>
    <w:unhideWhenUsed/>
    <w:rsid w:val="00204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borninbradford@bthft.nhs.uk" TargetMode="External"/><Relationship Id="rId13" Type="http://schemas.openxmlformats.org/officeDocument/2006/relationships/hyperlink" Target="mailto:borninbradford@bthft.nhs.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rninbradford@bthft.nhs.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rninbradford@bthft.nhs.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orninbradford@bthft.nhs.uk" TargetMode="External"/><Relationship Id="rId4" Type="http://schemas.openxmlformats.org/officeDocument/2006/relationships/settings" Target="settings.xml"/><Relationship Id="rId9" Type="http://schemas.openxmlformats.org/officeDocument/2006/relationships/hyperlink" Target="https://borninbradford.nhs.uk/our-data/guidance-and-faqs/" TargetMode="External"/><Relationship Id="rId14" Type="http://schemas.openxmlformats.org/officeDocument/2006/relationships/hyperlink" Target="mailto:borninbradford@bthf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7FA54-6324-4779-A3A6-8CE559365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6255</Words>
  <Characters>35656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Bradford Teaching Hospitals NHS Foundation Trust</Company>
  <LinksUpToDate>false</LinksUpToDate>
  <CharactersWithSpaces>41828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Davey</dc:creator>
  <cp:keywords/>
  <cp:lastModifiedBy>Dan Mason</cp:lastModifiedBy>
  <cp:revision>6</cp:revision>
  <dcterms:created xsi:type="dcterms:W3CDTF">2025-06-19T13:47:00Z</dcterms:created>
  <dcterms:modified xsi:type="dcterms:W3CDTF">2025-06-19T13:57:00Z</dcterms:modified>
</cp:coreProperties>
</file>