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003E" w14:textId="7893BCBD" w:rsidR="00C653DB" w:rsidRPr="00C653DB" w:rsidRDefault="00C653DB" w:rsidP="00C653D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bookmarkStart w:id="0" w:name="_Hlk208571004"/>
      <w:r w:rsidRPr="00C653DB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What We Measure in the Study</w:t>
      </w:r>
      <w:r w:rsidR="007731B5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 xml:space="preserve"> – Children </w:t>
      </w:r>
    </w:p>
    <w:bookmarkEnd w:id="0"/>
    <w:p w14:paraId="25E11142" w14:textId="77777777" w:rsidR="00C653DB" w:rsidRPr="00C653DB" w:rsidRDefault="00C653DB" w:rsidP="00C653D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653D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We collect a range of measures from children, parents, and teachers to better understand health, wellbeing, and development. Below is a summary of what we do, why, and how long it takes.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874"/>
        <w:gridCol w:w="9246"/>
        <w:gridCol w:w="1519"/>
      </w:tblGrid>
      <w:tr w:rsidR="00A32F39" w:rsidRPr="00C653DB" w14:paraId="7BD845F5" w14:textId="77777777" w:rsidTr="00A8086A">
        <w:tc>
          <w:tcPr>
            <w:tcW w:w="0" w:type="auto"/>
            <w:hideMark/>
          </w:tcPr>
          <w:p w14:paraId="465FD66F" w14:textId="77777777" w:rsidR="00C653DB" w:rsidRPr="00C653DB" w:rsidRDefault="00C653DB" w:rsidP="00C653DB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Participant</w:t>
            </w:r>
          </w:p>
        </w:tc>
        <w:tc>
          <w:tcPr>
            <w:tcW w:w="5632" w:type="dxa"/>
            <w:hideMark/>
          </w:tcPr>
          <w:p w14:paraId="65B248C6" w14:textId="77777777" w:rsidR="00C653DB" w:rsidRPr="00C653DB" w:rsidRDefault="00C653DB" w:rsidP="00C653DB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Measure</w:t>
            </w:r>
          </w:p>
        </w:tc>
        <w:tc>
          <w:tcPr>
            <w:tcW w:w="5488" w:type="dxa"/>
            <w:hideMark/>
          </w:tcPr>
          <w:p w14:paraId="039EB5B7" w14:textId="77777777" w:rsidR="00C653DB" w:rsidRPr="00C653DB" w:rsidRDefault="00C653DB" w:rsidP="00C653DB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hideMark/>
          </w:tcPr>
          <w:p w14:paraId="7AADE287" w14:textId="77777777" w:rsidR="00C653DB" w:rsidRPr="00C653DB" w:rsidRDefault="00C653DB" w:rsidP="00C653DB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Approx. Duration</w:t>
            </w:r>
          </w:p>
        </w:tc>
      </w:tr>
      <w:tr w:rsidR="00A32F39" w:rsidRPr="00C653DB" w14:paraId="2B7EFAFD" w14:textId="77777777" w:rsidTr="00A8086A">
        <w:tc>
          <w:tcPr>
            <w:tcW w:w="0" w:type="auto"/>
            <w:hideMark/>
          </w:tcPr>
          <w:p w14:paraId="3300BE04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3E867C97" w14:textId="34AC1892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 Wellbeing Survey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bookmarkStart w:id="1" w:name="_Hlk208569540"/>
            <w:r>
              <w:fldChar w:fldCharType="begin"/>
            </w:r>
            <w:r>
              <w:instrText>HYPERLINK "https://borninbradford.nhs.uk/our-data/questionnaires/" \t "_new"</w:instrText>
            </w:r>
            <w:r>
              <w:fldChar w:fldCharType="separate"/>
            </w:r>
            <w:r w:rsidRPr="00C653DB">
              <w:rPr>
                <w:rFonts w:eastAsia="Times New Roman" w:cstheme="minorHAnsi"/>
                <w:color w:val="0000FF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View full questionnaire</w:t>
            </w:r>
            <w:r>
              <w:fldChar w:fldCharType="end"/>
            </w:r>
            <w:bookmarkEnd w:id="1"/>
          </w:p>
        </w:tc>
        <w:tc>
          <w:tcPr>
            <w:tcW w:w="5488" w:type="dxa"/>
            <w:hideMark/>
          </w:tcPr>
          <w:p w14:paraId="48667E3A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 survey about wellbeing, health, and daily life, completed by the child.</w:t>
            </w:r>
          </w:p>
        </w:tc>
        <w:tc>
          <w:tcPr>
            <w:tcW w:w="0" w:type="auto"/>
            <w:hideMark/>
          </w:tcPr>
          <w:p w14:paraId="1F055AF4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30–45 minutes</w:t>
            </w:r>
          </w:p>
        </w:tc>
      </w:tr>
      <w:tr w:rsidR="00A32F39" w:rsidRPr="00C653DB" w14:paraId="2701B3A5" w14:textId="77777777" w:rsidTr="00A8086A">
        <w:tc>
          <w:tcPr>
            <w:tcW w:w="0" w:type="auto"/>
            <w:hideMark/>
          </w:tcPr>
          <w:p w14:paraId="416F862A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354F623D" w14:textId="77777777" w:rsidR="00C653DB" w:rsidRDefault="00C653DB" w:rsidP="00C653DB">
            <w:pPr>
              <w:rPr>
                <w:rFonts w:eastAsia="Times New Roman" w:cstheme="minorHAnsi"/>
                <w:color w:val="0000FF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OxEd Reading Screen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hyperlink r:id="rId7" w:tgtFrame="_new" w:history="1">
              <w:r w:rsidRPr="00C653DB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More info</w:t>
              </w:r>
            </w:hyperlink>
          </w:p>
          <w:p w14:paraId="47192FF4" w14:textId="77777777" w:rsidR="000550B6" w:rsidRDefault="000550B6" w:rsidP="00C653DB">
            <w:pPr>
              <w:rPr>
                <w:rFonts w:eastAsia="Times New Roman" w:cstheme="minorHAnsi"/>
                <w:color w:val="0000FF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E7AD352" w14:textId="24E62B36" w:rsidR="000550B6" w:rsidRPr="00C653DB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For more information on the reliability and validity of the measure please see below. </w:t>
            </w:r>
          </w:p>
        </w:tc>
        <w:tc>
          <w:tcPr>
            <w:tcW w:w="5488" w:type="dxa"/>
            <w:hideMark/>
          </w:tcPr>
          <w:p w14:paraId="455D9976" w14:textId="77777777" w:rsidR="000550B6" w:rsidRDefault="000550B6" w:rsidP="000550B6">
            <w:r w:rsidRPr="00554612">
              <w:t xml:space="preserve">The </w:t>
            </w:r>
            <w:r>
              <w:t>Reading</w:t>
            </w:r>
            <w:r w:rsidRPr="00554612">
              <w:t xml:space="preserve"> Screen tests </w:t>
            </w:r>
            <w:r>
              <w:t>reading</w:t>
            </w:r>
            <w:r w:rsidRPr="00554612">
              <w:t xml:space="preserve"> skills for children aged </w:t>
            </w:r>
            <w:r>
              <w:t xml:space="preserve">5 – 12 </w:t>
            </w:r>
            <w:r w:rsidRPr="00554612">
              <w:t>years</w:t>
            </w:r>
            <w:r>
              <w:t xml:space="preserve"> via tablet.</w:t>
            </w:r>
            <w:r w:rsidRPr="00554612">
              <w:t xml:space="preserve"> This includes </w:t>
            </w:r>
            <w:r>
              <w:t xml:space="preserve">60 word reading items (ability to recognise words) and 34 nonword reading (ability to decode unfamiliar words) </w:t>
            </w:r>
            <w:r w:rsidRPr="00554612">
              <w:t>The teacher or administering adult guides the child through the tests using the instructions provided, marking their responses discretely as correct or incorrect on the tablet.</w:t>
            </w:r>
            <w:r>
              <w:t xml:space="preserve"> You can see examples of each of these below:</w:t>
            </w:r>
          </w:p>
          <w:p w14:paraId="0F957345" w14:textId="77777777" w:rsidR="00C653DB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77B2">
              <w:rPr>
                <w:noProof/>
              </w:rPr>
              <w:drawing>
                <wp:inline distT="0" distB="0" distL="0" distR="0" wp14:anchorId="646B9953" wp14:editId="0EE5FD1E">
                  <wp:extent cx="5731510" cy="2040890"/>
                  <wp:effectExtent l="0" t="0" r="2540" b="0"/>
                  <wp:docPr id="110293546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35464" name="Picture 1" descr="A screenshot of a compute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417A5" w14:textId="77777777" w:rsidR="000550B6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Adjusts to the child’s age/ability.</w:t>
            </w:r>
          </w:p>
          <w:p w14:paraId="2D1AE406" w14:textId="77777777" w:rsidR="000550B6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09D75D" w14:textId="5D07733A" w:rsidR="000550B6" w:rsidRPr="00C653DB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lastRenderedPageBreak/>
              <w:t>The child’s school will get an assessment report with age-standardised results, visual and written feedback for individual pupils and classes, and traffic light symbols showing children who would benefit most from support.</w:t>
            </w:r>
          </w:p>
        </w:tc>
        <w:tc>
          <w:tcPr>
            <w:tcW w:w="0" w:type="auto"/>
            <w:hideMark/>
          </w:tcPr>
          <w:p w14:paraId="0997FE41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2–10 minutes</w:t>
            </w:r>
          </w:p>
        </w:tc>
      </w:tr>
      <w:tr w:rsidR="00A32F39" w:rsidRPr="00C653DB" w14:paraId="02AF1359" w14:textId="77777777" w:rsidTr="00A8086A">
        <w:tc>
          <w:tcPr>
            <w:tcW w:w="0" w:type="auto"/>
            <w:hideMark/>
          </w:tcPr>
          <w:p w14:paraId="075584FB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6CEB5089" w14:textId="77777777" w:rsidR="00C653DB" w:rsidRDefault="00C653DB" w:rsidP="00C653DB">
            <w:pPr>
              <w:rPr>
                <w:rFonts w:eastAsia="Times New Roman" w:cstheme="minorHAnsi"/>
                <w:color w:val="0000FF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OxEd Language Screen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hyperlink r:id="rId9" w:tgtFrame="_new" w:history="1">
              <w:r w:rsidRPr="00C653DB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More info</w:t>
              </w:r>
            </w:hyperlink>
          </w:p>
          <w:p w14:paraId="1FB30296" w14:textId="77777777" w:rsidR="000550B6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DB41F5" w14:textId="3176F4B5" w:rsidR="000550B6" w:rsidRPr="00C653DB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For more information on the reliability and validity of the measure please see below.</w:t>
            </w:r>
          </w:p>
        </w:tc>
        <w:tc>
          <w:tcPr>
            <w:tcW w:w="5488" w:type="dxa"/>
            <w:hideMark/>
          </w:tcPr>
          <w:p w14:paraId="07AF10C1" w14:textId="02909122" w:rsidR="00823CAF" w:rsidRPr="000550B6" w:rsidRDefault="000550B6" w:rsidP="00C653DB">
            <w:r w:rsidRPr="00554612">
              <w:t>The Language Screen tests oral language skills for children aged 3.5 to 11 years</w:t>
            </w:r>
            <w:r>
              <w:t xml:space="preserve"> via tablet.</w:t>
            </w:r>
            <w:r w:rsidRPr="00554612">
              <w:t xml:space="preserve"> This includes expressive vocabulary (what does each picture show?), listening comprehension (answer questions about short stories), receptive vocabulary</w:t>
            </w:r>
            <w:r>
              <w:t xml:space="preserve"> (which picture matches the word you hear?)</w:t>
            </w:r>
            <w:r w:rsidRPr="00554612">
              <w:t>, and sentence repetition (repeat the sentence you hear and see).</w:t>
            </w:r>
            <w:r>
              <w:t xml:space="preserve"> </w:t>
            </w:r>
            <w:r w:rsidRPr="00554612">
              <w:t>The teacher or administering adult guides the child through the tests using the instructions provided, marking their responses discretely as correct or incorrect on the tablet.</w:t>
            </w:r>
            <w:r>
              <w:t xml:space="preserve"> You can see examples of each of these below:</w:t>
            </w:r>
          </w:p>
          <w:p w14:paraId="0193975C" w14:textId="77777777" w:rsidR="00823CAF" w:rsidRDefault="00823CAF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54612">
              <w:rPr>
                <w:noProof/>
              </w:rPr>
              <w:drawing>
                <wp:inline distT="0" distB="0" distL="0" distR="0" wp14:anchorId="5F6D3686" wp14:editId="7BD1A0BF">
                  <wp:extent cx="5731510" cy="1307465"/>
                  <wp:effectExtent l="0" t="0" r="2540" b="6985"/>
                  <wp:docPr id="625017642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7642" name="Picture 1" descr="A screenshot of a computer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0EC14" w14:textId="77777777" w:rsidR="000550B6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Adjusts to the child’s age/ability.</w:t>
            </w:r>
          </w:p>
          <w:p w14:paraId="547E5DB9" w14:textId="655DAAD5" w:rsidR="000550B6" w:rsidRPr="00C653DB" w:rsidRDefault="000550B6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>The child’s school will get an assessment report with age-standardised results, visual and written feedback for individual pupils and classes, and traffic light symbols showing children who would benefit most from support.</w:t>
            </w:r>
          </w:p>
        </w:tc>
        <w:tc>
          <w:tcPr>
            <w:tcW w:w="0" w:type="auto"/>
            <w:hideMark/>
          </w:tcPr>
          <w:p w14:paraId="0EDE56A8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&lt;10 minutes</w:t>
            </w:r>
          </w:p>
        </w:tc>
      </w:tr>
      <w:tr w:rsidR="00A32F39" w:rsidRPr="00C653DB" w14:paraId="4D2AB6BB" w14:textId="77777777" w:rsidTr="00A8086A">
        <w:tc>
          <w:tcPr>
            <w:tcW w:w="0" w:type="auto"/>
            <w:hideMark/>
          </w:tcPr>
          <w:p w14:paraId="1185E62C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58DBD93D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Height</w:t>
            </w:r>
          </w:p>
        </w:tc>
        <w:tc>
          <w:tcPr>
            <w:tcW w:w="5488" w:type="dxa"/>
            <w:hideMark/>
          </w:tcPr>
          <w:p w14:paraId="0529CCEF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Measured using a Leicester stadiometer (without shoes).</w:t>
            </w:r>
          </w:p>
        </w:tc>
        <w:tc>
          <w:tcPr>
            <w:tcW w:w="0" w:type="auto"/>
            <w:hideMark/>
          </w:tcPr>
          <w:p w14:paraId="2FA7A326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1–2 minutes</w:t>
            </w:r>
          </w:p>
        </w:tc>
      </w:tr>
      <w:tr w:rsidR="00A32F39" w:rsidRPr="00C653DB" w14:paraId="4B157949" w14:textId="77777777" w:rsidTr="00A8086A">
        <w:tc>
          <w:tcPr>
            <w:tcW w:w="0" w:type="auto"/>
            <w:hideMark/>
          </w:tcPr>
          <w:p w14:paraId="7AB0FA2C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727A6CCE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Weight &amp; Body Composition</w:t>
            </w:r>
          </w:p>
        </w:tc>
        <w:tc>
          <w:tcPr>
            <w:tcW w:w="5488" w:type="dxa"/>
            <w:hideMark/>
          </w:tcPr>
          <w:p w14:paraId="5DAD20BB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Measured using a Tanita bioelectrical impedance scale to estimate fat, muscle, and water mass.</w:t>
            </w:r>
          </w:p>
        </w:tc>
        <w:tc>
          <w:tcPr>
            <w:tcW w:w="0" w:type="auto"/>
            <w:hideMark/>
          </w:tcPr>
          <w:p w14:paraId="55CD968D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 minutes</w:t>
            </w:r>
          </w:p>
        </w:tc>
      </w:tr>
      <w:tr w:rsidR="00A32F39" w:rsidRPr="00C653DB" w14:paraId="57379189" w14:textId="77777777" w:rsidTr="00A8086A">
        <w:tc>
          <w:tcPr>
            <w:tcW w:w="0" w:type="auto"/>
            <w:hideMark/>
          </w:tcPr>
          <w:p w14:paraId="11DACC19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11D4A81D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Waist Circumference</w:t>
            </w:r>
          </w:p>
        </w:tc>
        <w:tc>
          <w:tcPr>
            <w:tcW w:w="5488" w:type="dxa"/>
            <w:hideMark/>
          </w:tcPr>
          <w:p w14:paraId="26420986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Measured using a stretch-resistant tape. Children can choose whether to lift their top or take part.</w:t>
            </w:r>
          </w:p>
        </w:tc>
        <w:tc>
          <w:tcPr>
            <w:tcW w:w="0" w:type="auto"/>
            <w:hideMark/>
          </w:tcPr>
          <w:p w14:paraId="4E741ADE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 minutes</w:t>
            </w:r>
          </w:p>
        </w:tc>
      </w:tr>
      <w:tr w:rsidR="00A32F39" w:rsidRPr="00C653DB" w14:paraId="51762D6B" w14:textId="77777777" w:rsidTr="00A8086A">
        <w:tc>
          <w:tcPr>
            <w:tcW w:w="0" w:type="auto"/>
            <w:hideMark/>
          </w:tcPr>
          <w:p w14:paraId="09D71B46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1C3E127D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Blood Pressure &amp; Pulse</w:t>
            </w:r>
          </w:p>
        </w:tc>
        <w:tc>
          <w:tcPr>
            <w:tcW w:w="5488" w:type="dxa"/>
            <w:hideMark/>
          </w:tcPr>
          <w:p w14:paraId="145818E2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Two seated blood pressure readings taken with an electronic monitor. A third reading is taken if results are elevated, with follow-up action if necessary.</w:t>
            </w:r>
          </w:p>
        </w:tc>
        <w:tc>
          <w:tcPr>
            <w:tcW w:w="0" w:type="auto"/>
            <w:hideMark/>
          </w:tcPr>
          <w:p w14:paraId="12BF56EB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3–5 minutes</w:t>
            </w:r>
          </w:p>
        </w:tc>
      </w:tr>
      <w:tr w:rsidR="00A32F39" w:rsidRPr="00C653DB" w14:paraId="2A9B1332" w14:textId="77777777" w:rsidTr="00A8086A">
        <w:tc>
          <w:tcPr>
            <w:tcW w:w="0" w:type="auto"/>
            <w:hideMark/>
          </w:tcPr>
          <w:p w14:paraId="3DB9369E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  <w:tc>
          <w:tcPr>
            <w:tcW w:w="5632" w:type="dxa"/>
            <w:hideMark/>
          </w:tcPr>
          <w:p w14:paraId="05710F96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Family Drawing</w:t>
            </w:r>
          </w:p>
        </w:tc>
        <w:tc>
          <w:tcPr>
            <w:tcW w:w="5488" w:type="dxa"/>
            <w:hideMark/>
          </w:tcPr>
          <w:p w14:paraId="5D6FAC35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Children draw their family in a booklet (optional). We may take a photo of the drawing (with permission).</w:t>
            </w:r>
          </w:p>
        </w:tc>
        <w:tc>
          <w:tcPr>
            <w:tcW w:w="0" w:type="auto"/>
            <w:hideMark/>
          </w:tcPr>
          <w:p w14:paraId="202E485E" w14:textId="42432FA4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~5-10 minutes</w:t>
            </w:r>
          </w:p>
        </w:tc>
      </w:tr>
      <w:tr w:rsidR="00A32F39" w:rsidRPr="00C653DB" w14:paraId="25F43C38" w14:textId="77777777" w:rsidTr="00A8086A">
        <w:tc>
          <w:tcPr>
            <w:tcW w:w="0" w:type="auto"/>
            <w:hideMark/>
          </w:tcPr>
          <w:p w14:paraId="1A3C1EDD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Child</w:t>
            </w:r>
          </w:p>
        </w:tc>
        <w:tc>
          <w:tcPr>
            <w:tcW w:w="5632" w:type="dxa"/>
            <w:hideMark/>
          </w:tcPr>
          <w:p w14:paraId="3802C5E9" w14:textId="77777777" w:rsidR="00C653DB" w:rsidRDefault="00C653DB" w:rsidP="00C653DB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School Lunch Observation</w:t>
            </w:r>
          </w:p>
          <w:p w14:paraId="10DFF45F" w14:textId="77777777" w:rsidR="004E52D8" w:rsidRDefault="004E52D8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78B285" w14:textId="0F66D6FA" w:rsidR="004E52D8" w:rsidRPr="00C653DB" w:rsidRDefault="004E52D8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For papers where this has been validated in other primary school children, please see: </w:t>
            </w:r>
            <w:hyperlink r:id="rId11" w:history="1">
              <w:r w:rsidR="00A8086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:lang w:eastAsia="en-GB"/>
                  <w14:ligatures w14:val="none"/>
                </w:rPr>
                <w:t xml:space="preserve">Article 1 </w:t>
              </w:r>
            </w:hyperlink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&amp; </w:t>
            </w:r>
            <w:hyperlink r:id="rId12" w:history="1">
              <w:r w:rsidR="00A8086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:lang w:eastAsia="en-GB"/>
                  <w14:ligatures w14:val="none"/>
                </w:rPr>
                <w:t>Article 2</w:t>
              </w:r>
            </w:hyperlink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88" w:type="dxa"/>
            <w:hideMark/>
          </w:tcPr>
          <w:p w14:paraId="24654E91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Trained staff photograph school lunches before and after eating to estimate food intake.</w:t>
            </w:r>
          </w:p>
        </w:tc>
        <w:tc>
          <w:tcPr>
            <w:tcW w:w="0" w:type="auto"/>
            <w:hideMark/>
          </w:tcPr>
          <w:p w14:paraId="5D83D7A2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Occurs during lunchtime</w:t>
            </w:r>
          </w:p>
        </w:tc>
      </w:tr>
      <w:tr w:rsidR="00A32F39" w:rsidRPr="00C653DB" w14:paraId="5A69E828" w14:textId="77777777" w:rsidTr="00A8086A">
        <w:tc>
          <w:tcPr>
            <w:tcW w:w="0" w:type="auto"/>
            <w:hideMark/>
          </w:tcPr>
          <w:p w14:paraId="25B6E612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Teacher</w:t>
            </w:r>
          </w:p>
        </w:tc>
        <w:tc>
          <w:tcPr>
            <w:tcW w:w="5632" w:type="dxa"/>
            <w:hideMark/>
          </w:tcPr>
          <w:p w14:paraId="74A4FD14" w14:textId="4E0708BF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Strengths and Difficulties Questionnaire (SDQ)</w:t>
            </w:r>
            <w:r w:rsidR="00A32F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hyperlink r:id="rId13" w:history="1">
              <w:r w:rsidR="00A8086A" w:rsidRPr="00A8086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:lang w:eastAsia="en-GB"/>
                  <w14:ligatures w14:val="none"/>
                </w:rPr>
                <w:t>More Info</w:t>
              </w:r>
            </w:hyperlink>
          </w:p>
        </w:tc>
        <w:tc>
          <w:tcPr>
            <w:tcW w:w="5488" w:type="dxa"/>
            <w:hideMark/>
          </w:tcPr>
          <w:p w14:paraId="788DDF79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Teachers complete a 25-item behavioural questionnaire about each participating child. Covers behaviour, emotions, attention, and peer relationships.</w:t>
            </w:r>
          </w:p>
        </w:tc>
        <w:tc>
          <w:tcPr>
            <w:tcW w:w="0" w:type="auto"/>
            <w:hideMark/>
          </w:tcPr>
          <w:p w14:paraId="75C324DB" w14:textId="77777777" w:rsidR="00C653DB" w:rsidRPr="00C653DB" w:rsidRDefault="00C653DB" w:rsidP="00C653DB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3DB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Flexible (at teacher’s convenience)</w:t>
            </w:r>
          </w:p>
        </w:tc>
      </w:tr>
    </w:tbl>
    <w:p w14:paraId="67BEE645" w14:textId="3B9690C8" w:rsidR="00C653DB" w:rsidRDefault="00C653DB">
      <w:pPr>
        <w:rPr>
          <w:rFonts w:cstheme="minorHAnsi"/>
        </w:rPr>
      </w:pPr>
    </w:p>
    <w:p w14:paraId="1A3D1802" w14:textId="053829A8" w:rsidR="000550B6" w:rsidRPr="000550B6" w:rsidRDefault="000550B6">
      <w:pPr>
        <w:rPr>
          <w:rFonts w:cstheme="minorHAnsi"/>
          <w:b/>
          <w:bCs/>
        </w:rPr>
      </w:pPr>
      <w:r w:rsidRPr="000550B6">
        <w:rPr>
          <w:rFonts w:cstheme="minorHAnsi"/>
          <w:b/>
          <w:bCs/>
        </w:rPr>
        <w:t xml:space="preserve">Are the language measures reliable and valid? </w:t>
      </w:r>
    </w:p>
    <w:p w14:paraId="3C85C926" w14:textId="77777777" w:rsidR="000550B6" w:rsidRPr="00554612" w:rsidRDefault="000550B6" w:rsidP="000550B6">
      <w:r>
        <w:t xml:space="preserve">Both Language Screen and Reading Screen were developed by </w:t>
      </w:r>
      <w:r w:rsidRPr="00554612">
        <w:t>Professor Charles Hulme, a language and reading expert who created the Nuffield Early Language Intervention Programme</w:t>
      </w:r>
      <w:r>
        <w:t xml:space="preserve">. The Language Screen was standardised on approximately 350,000 children aged approximately 3 – 9 years old, correlates with longer well-standardised tests of language ability (such as the Clinical Evaluation of Language Fundamentals and the Renfrew Action Picture Test) and showed good-to-excellent reliability for the total scale. An in-depth summary can be found here: </w:t>
      </w:r>
      <w:hyperlink r:id="rId14" w:anchor="LanguageScreen" w:history="1">
        <w:r w:rsidRPr="00D46EF8">
          <w:rPr>
            <w:rStyle w:val="Hyperlink"/>
          </w:rPr>
          <w:t>https://oxedandassessment.com/research/evidence-assessments-interventions/#LanguageScreen</w:t>
        </w:r>
      </w:hyperlink>
      <w:r>
        <w:t xml:space="preserve"> and here: </w:t>
      </w:r>
      <w:r w:rsidRPr="009D25D0">
        <w:t>Hulme, C., McGrane, J., Duta, M., West, G., Cripps, D., Dasgupta, A., Hearne, S., Gardner, R., &amp; Snowling, M. (2024). LanguageScreen: the development, validation and standardization of an automated language assessment app. Language, Speech, and Hearing Services in Schools, 55(3), 904–917.</w:t>
      </w:r>
      <w:r>
        <w:t xml:space="preserve">   Reading Screen is being used to assess the Nuffield Early Language Intervention Programme alongside Language Screen and is currently undergoing evaluation (</w:t>
      </w:r>
      <w:hyperlink r:id="rId15" w:history="1">
        <w:r w:rsidRPr="00D46EF8">
          <w:rPr>
            <w:rStyle w:val="Hyperlink"/>
          </w:rPr>
          <w:t>https://doi.org/10.1186/ISRCTN15660056</w:t>
        </w:r>
      </w:hyperlink>
      <w:r>
        <w:t xml:space="preserve">), but uses well-known established measures of reading called ‘word reading’ and ‘non word reading’ (see </w:t>
      </w:r>
      <w:r w:rsidRPr="00F92521">
        <w:t xml:space="preserve">de Jong, P. F., &amp; van der Leij, A. (2002). Effects of </w:t>
      </w:r>
      <w:r w:rsidRPr="00F92521">
        <w:lastRenderedPageBreak/>
        <w:t xml:space="preserve">Phonological Abilities and Linguistic Comprehension on the Development of Reading. </w:t>
      </w:r>
      <w:r w:rsidRPr="00F92521">
        <w:rPr>
          <w:i/>
          <w:iCs/>
        </w:rPr>
        <w:t>Scientific Studies of Reading</w:t>
      </w:r>
      <w:r w:rsidRPr="00F92521">
        <w:t xml:space="preserve">, </w:t>
      </w:r>
      <w:r w:rsidRPr="00F92521">
        <w:rPr>
          <w:i/>
          <w:iCs/>
        </w:rPr>
        <w:t>6</w:t>
      </w:r>
      <w:r w:rsidRPr="00F92521">
        <w:t>(1), 51–77</w:t>
      </w:r>
      <w:r>
        <w:t xml:space="preserve">; Mani &amp; Huettig, 2014, Journal of Experimental Child Psychology, 126, 264 – 279). </w:t>
      </w:r>
    </w:p>
    <w:p w14:paraId="56A2BEFD" w14:textId="77777777" w:rsidR="000550B6" w:rsidRPr="00C653DB" w:rsidRDefault="000550B6">
      <w:pPr>
        <w:rPr>
          <w:rFonts w:cstheme="minorHAnsi"/>
        </w:rPr>
      </w:pPr>
    </w:p>
    <w:sectPr w:rsidR="000550B6" w:rsidRPr="00C653DB" w:rsidSect="00C653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4564" w14:textId="77777777" w:rsidR="00C756C2" w:rsidRDefault="00C756C2" w:rsidP="00C756C2">
      <w:pPr>
        <w:spacing w:after="0" w:line="240" w:lineRule="auto"/>
      </w:pPr>
      <w:r>
        <w:separator/>
      </w:r>
    </w:p>
  </w:endnote>
  <w:endnote w:type="continuationSeparator" w:id="0">
    <w:p w14:paraId="6EEA39A2" w14:textId="77777777" w:rsidR="00C756C2" w:rsidRDefault="00C756C2" w:rsidP="00C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6D92" w14:textId="77777777" w:rsidR="00C756C2" w:rsidRDefault="00C75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7B7A" w14:textId="7FC83E60" w:rsidR="00C756C2" w:rsidRDefault="00C756C2">
    <w:pPr>
      <w:pStyle w:val="Footer"/>
    </w:pPr>
    <w:r>
      <w:t xml:space="preserve">BiBBS ACHIEVE Website for More Information – Children v1.0., 24.09.2025 </w:t>
    </w:r>
    <w:r w:rsidRPr="00C756C2">
      <w:t>IRAS ID: 359063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D09C" w14:textId="77777777" w:rsidR="00C756C2" w:rsidRDefault="00C7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D072" w14:textId="77777777" w:rsidR="00C756C2" w:rsidRDefault="00C756C2" w:rsidP="00C756C2">
      <w:pPr>
        <w:spacing w:after="0" w:line="240" w:lineRule="auto"/>
      </w:pPr>
      <w:r>
        <w:separator/>
      </w:r>
    </w:p>
  </w:footnote>
  <w:footnote w:type="continuationSeparator" w:id="0">
    <w:p w14:paraId="6FD80E64" w14:textId="77777777" w:rsidR="00C756C2" w:rsidRDefault="00C756C2" w:rsidP="00C7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8238" w14:textId="77777777" w:rsidR="00C756C2" w:rsidRDefault="00C75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EFEB" w14:textId="77777777" w:rsidR="00C756C2" w:rsidRDefault="00C75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5378" w14:textId="77777777" w:rsidR="00C756C2" w:rsidRDefault="00C75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5E27"/>
    <w:multiLevelType w:val="multilevel"/>
    <w:tmpl w:val="84B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55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DB"/>
    <w:rsid w:val="000550B6"/>
    <w:rsid w:val="00120928"/>
    <w:rsid w:val="003011F8"/>
    <w:rsid w:val="004E52D8"/>
    <w:rsid w:val="00593592"/>
    <w:rsid w:val="007731B5"/>
    <w:rsid w:val="007A3ED4"/>
    <w:rsid w:val="00823CAF"/>
    <w:rsid w:val="00A0693F"/>
    <w:rsid w:val="00A32F39"/>
    <w:rsid w:val="00A80074"/>
    <w:rsid w:val="00A8086A"/>
    <w:rsid w:val="00BF1401"/>
    <w:rsid w:val="00C653DB"/>
    <w:rsid w:val="00C756C2"/>
    <w:rsid w:val="00D03378"/>
    <w:rsid w:val="00E5367E"/>
    <w:rsid w:val="00F0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14EF"/>
  <w15:chartTrackingRefBased/>
  <w15:docId w15:val="{D3FBA6F9-0248-422E-AB31-B9C2CE41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D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6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2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F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2F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8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C2"/>
  </w:style>
  <w:style w:type="paragraph" w:styleId="Footer">
    <w:name w:val="footer"/>
    <w:basedOn w:val="Normal"/>
    <w:link w:val="FooterChar"/>
    <w:uiPriority w:val="99"/>
    <w:unhideWhenUsed/>
    <w:rsid w:val="00C75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dqinfo.org/a0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oxedandassessment.com/readingscreen/" TargetMode="External"/><Relationship Id="rId12" Type="http://schemas.openxmlformats.org/officeDocument/2006/relationships/hyperlink" Target="https://pmc.ncbi.nlm.nih.gov/articles/PMC10260622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plos.org/plosone/article?id=10.1371/journal.pone.01639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86/ISRCTN1566005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xedandassessment.com/languagescreen/" TargetMode="External"/><Relationship Id="rId14" Type="http://schemas.openxmlformats.org/officeDocument/2006/relationships/hyperlink" Target="https://oxedandassessment.com/research/evidence-assessments-interventi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Crossley</dc:creator>
  <cp:keywords/>
  <dc:description/>
  <cp:lastModifiedBy>Kirsty Crossley</cp:lastModifiedBy>
  <cp:revision>7</cp:revision>
  <dcterms:created xsi:type="dcterms:W3CDTF">2025-09-05T15:40:00Z</dcterms:created>
  <dcterms:modified xsi:type="dcterms:W3CDTF">2025-09-24T17:14:00Z</dcterms:modified>
</cp:coreProperties>
</file>